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D6" w:rsidRPr="005113BD" w:rsidRDefault="00610BD6" w:rsidP="00610BD6">
      <w:pPr>
        <w:autoSpaceDE w:val="0"/>
        <w:autoSpaceDN w:val="0"/>
        <w:adjustRightInd w:val="0"/>
        <w:jc w:val="both"/>
        <w:rPr>
          <w:rFonts w:cs="Arial"/>
          <w:szCs w:val="22"/>
        </w:rPr>
      </w:pPr>
      <w:r w:rsidRPr="005113BD">
        <w:rPr>
          <w:rFonts w:cs="Arial"/>
          <w:szCs w:val="22"/>
        </w:rPr>
        <w:t xml:space="preserve">Na podlagi 61. in 74. člena Zakona o prostorskem načrtovanju (Ur. l. RS, št. 33/07, 70/08 – ZVO–1B, 108/09, 80/10 – ZUPUDPP, 106/10 – </w:t>
      </w:r>
      <w:proofErr w:type="spellStart"/>
      <w:r w:rsidRPr="005113BD">
        <w:rPr>
          <w:rFonts w:cs="Arial"/>
          <w:szCs w:val="22"/>
        </w:rPr>
        <w:t>popr</w:t>
      </w:r>
      <w:proofErr w:type="spellEnd"/>
      <w:r w:rsidRPr="005113BD">
        <w:rPr>
          <w:rFonts w:cs="Arial"/>
          <w:szCs w:val="22"/>
        </w:rPr>
        <w:t xml:space="preserve">. ZUPUDPP, 43/11 – ZKZ-C, 57/12, 57/12 – ZUPUDPP–A, 109/12, 76/14 – </w:t>
      </w:r>
      <w:proofErr w:type="spellStart"/>
      <w:r w:rsidRPr="005113BD">
        <w:rPr>
          <w:rFonts w:cs="Arial"/>
          <w:szCs w:val="22"/>
        </w:rPr>
        <w:t>odl</w:t>
      </w:r>
      <w:proofErr w:type="spellEnd"/>
      <w:r w:rsidRPr="005113BD">
        <w:rPr>
          <w:rFonts w:cs="Arial"/>
          <w:szCs w:val="22"/>
        </w:rPr>
        <w:t xml:space="preserve">. US, 14/15 – ZUUJFO, </w:t>
      </w:r>
      <w:r w:rsidRPr="005113BD">
        <w:rPr>
          <w:rFonts w:cs="Arial"/>
          <w:bCs/>
          <w:szCs w:val="22"/>
          <w:shd w:val="clear" w:color="auto" w:fill="FFFFFF"/>
        </w:rPr>
        <w:t>61/17 – ZUreP-2</w:t>
      </w:r>
      <w:r w:rsidRPr="005113BD">
        <w:rPr>
          <w:rFonts w:cs="Arial"/>
          <w:szCs w:val="22"/>
        </w:rPr>
        <w:t>)</w:t>
      </w:r>
      <w:r w:rsidRPr="005113BD" w:rsidDel="00825425">
        <w:rPr>
          <w:rFonts w:cs="Arial"/>
          <w:szCs w:val="22"/>
        </w:rPr>
        <w:t xml:space="preserve"> </w:t>
      </w:r>
      <w:r w:rsidRPr="005113BD">
        <w:rPr>
          <w:rFonts w:cs="Arial"/>
          <w:szCs w:val="22"/>
        </w:rPr>
        <w:t xml:space="preserve">in 22. člena Statuta Občine Vrhnika (Naš časopis, št. 430/15) je Občinski svet Občine Vrhnika na </w:t>
      </w:r>
      <w:r>
        <w:rPr>
          <w:rFonts w:cs="Arial"/>
          <w:szCs w:val="22"/>
        </w:rPr>
        <w:t xml:space="preserve">23. </w:t>
      </w:r>
      <w:r w:rsidRPr="005113BD">
        <w:rPr>
          <w:rFonts w:cs="Arial"/>
          <w:szCs w:val="22"/>
        </w:rPr>
        <w:t xml:space="preserve">redni seji dne </w:t>
      </w:r>
      <w:r>
        <w:rPr>
          <w:rFonts w:cs="Arial"/>
          <w:szCs w:val="22"/>
        </w:rPr>
        <w:t xml:space="preserve">15.2.2018 </w:t>
      </w:r>
      <w:r w:rsidRPr="005113BD">
        <w:rPr>
          <w:rFonts w:cs="Arial"/>
          <w:szCs w:val="22"/>
        </w:rPr>
        <w:t>sprejel</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p>
    <w:p w:rsidR="00610BD6" w:rsidRPr="005113BD" w:rsidRDefault="00610BD6" w:rsidP="00610BD6">
      <w:pPr>
        <w:jc w:val="center"/>
        <w:rPr>
          <w:rFonts w:cs="Arial"/>
          <w:b/>
          <w:szCs w:val="22"/>
        </w:rPr>
      </w:pPr>
      <w:bookmarkStart w:id="0" w:name="_Toc104617583"/>
      <w:bookmarkStart w:id="1" w:name="_Toc104618303"/>
      <w:bookmarkStart w:id="2" w:name="_Toc104619378"/>
      <w:bookmarkStart w:id="3" w:name="_Toc104625298"/>
      <w:bookmarkStart w:id="4" w:name="_Toc104627507"/>
      <w:bookmarkStart w:id="5" w:name="_Toc104776690"/>
      <w:bookmarkStart w:id="6" w:name="_Toc104799949"/>
      <w:bookmarkStart w:id="7" w:name="_Toc105387128"/>
      <w:bookmarkStart w:id="8" w:name="_Toc124835729"/>
      <w:bookmarkStart w:id="9" w:name="_Toc130186999"/>
      <w:r w:rsidRPr="005113BD">
        <w:rPr>
          <w:rFonts w:cs="Arial"/>
          <w:b/>
          <w:szCs w:val="22"/>
        </w:rPr>
        <w:t>ODLOK</w:t>
      </w:r>
      <w:bookmarkEnd w:id="0"/>
      <w:bookmarkEnd w:id="1"/>
      <w:bookmarkEnd w:id="2"/>
      <w:bookmarkEnd w:id="3"/>
      <w:bookmarkEnd w:id="4"/>
      <w:bookmarkEnd w:id="5"/>
      <w:bookmarkEnd w:id="6"/>
      <w:bookmarkEnd w:id="7"/>
      <w:bookmarkEnd w:id="8"/>
      <w:bookmarkEnd w:id="9"/>
    </w:p>
    <w:p w:rsidR="00610BD6" w:rsidRPr="005113BD" w:rsidRDefault="00610BD6" w:rsidP="00610BD6">
      <w:pPr>
        <w:jc w:val="center"/>
        <w:rPr>
          <w:rFonts w:cs="Arial"/>
          <w:b/>
          <w:bCs/>
          <w:szCs w:val="22"/>
        </w:rPr>
      </w:pPr>
      <w:r w:rsidRPr="005113BD">
        <w:rPr>
          <w:rFonts w:cs="Arial"/>
          <w:b/>
          <w:bCs/>
          <w:szCs w:val="22"/>
        </w:rPr>
        <w:t>o občinskem podrobnem prostorskem načrtu za industrijsko cono Tojnice 1</w:t>
      </w:r>
    </w:p>
    <w:p w:rsidR="00610BD6" w:rsidRPr="005113BD" w:rsidRDefault="00610BD6" w:rsidP="00610BD6">
      <w:pPr>
        <w:jc w:val="both"/>
        <w:rPr>
          <w:rFonts w:cs="Arial"/>
          <w:b/>
          <w:snapToGrid w:val="0"/>
          <w:szCs w:val="22"/>
        </w:rPr>
      </w:pPr>
    </w:p>
    <w:p w:rsidR="00610BD6" w:rsidRPr="005113BD" w:rsidRDefault="00610BD6" w:rsidP="00610BD6">
      <w:pPr>
        <w:pStyle w:val="Naslov1"/>
        <w:rPr>
          <w:b w:val="0"/>
          <w:bCs w:val="0"/>
          <w:sz w:val="22"/>
          <w:szCs w:val="22"/>
        </w:rPr>
      </w:pPr>
      <w:bookmarkStart w:id="10" w:name="_Toc104617584"/>
      <w:bookmarkStart w:id="11" w:name="_Toc104618304"/>
      <w:bookmarkStart w:id="12" w:name="_Toc104619379"/>
      <w:bookmarkStart w:id="13" w:name="_Toc104625299"/>
      <w:bookmarkStart w:id="14" w:name="_Toc104627508"/>
      <w:bookmarkStart w:id="15" w:name="_Toc104776691"/>
      <w:bookmarkStart w:id="16" w:name="_Toc104799950"/>
      <w:bookmarkStart w:id="17" w:name="_Toc105387129"/>
      <w:bookmarkStart w:id="18" w:name="_Toc124835730"/>
      <w:bookmarkStart w:id="19" w:name="_Toc130187000"/>
      <w:r w:rsidRPr="005113BD">
        <w:rPr>
          <w:b w:val="0"/>
          <w:bCs w:val="0"/>
          <w:sz w:val="22"/>
          <w:szCs w:val="22"/>
        </w:rPr>
        <w:t>I. UVODNE DOLOČBE</w:t>
      </w:r>
      <w:bookmarkEnd w:id="10"/>
      <w:bookmarkEnd w:id="11"/>
      <w:bookmarkEnd w:id="12"/>
      <w:bookmarkEnd w:id="13"/>
      <w:bookmarkEnd w:id="14"/>
      <w:bookmarkEnd w:id="15"/>
      <w:bookmarkEnd w:id="16"/>
      <w:bookmarkEnd w:id="17"/>
      <w:bookmarkEnd w:id="18"/>
      <w:bookmarkEnd w:id="19"/>
    </w:p>
    <w:p w:rsidR="00610BD6" w:rsidRPr="005113BD" w:rsidRDefault="00610BD6" w:rsidP="00610BD6">
      <w:pPr>
        <w:rPr>
          <w:rFonts w:cs="Arial"/>
          <w:szCs w:val="22"/>
        </w:rPr>
      </w:pPr>
    </w:p>
    <w:p w:rsidR="00610BD6" w:rsidRPr="005113BD" w:rsidRDefault="00610BD6" w:rsidP="00610BD6">
      <w:pPr>
        <w:jc w:val="center"/>
        <w:rPr>
          <w:rFonts w:cs="Arial"/>
          <w:bCs/>
          <w:snapToGrid w:val="0"/>
          <w:szCs w:val="22"/>
        </w:rPr>
      </w:pPr>
      <w:bookmarkStart w:id="20" w:name="_Toc104617585"/>
      <w:bookmarkStart w:id="21" w:name="_Toc104618305"/>
      <w:bookmarkStart w:id="22" w:name="_Toc104619380"/>
      <w:bookmarkStart w:id="23" w:name="_Toc104625300"/>
      <w:bookmarkStart w:id="24" w:name="_Toc104627509"/>
      <w:bookmarkStart w:id="25" w:name="_Toc104776692"/>
      <w:bookmarkStart w:id="26" w:name="_Toc104799951"/>
      <w:bookmarkStart w:id="27" w:name="_Toc105387130"/>
      <w:bookmarkStart w:id="28" w:name="_Toc124835731"/>
      <w:bookmarkStart w:id="29" w:name="_Toc130187001"/>
      <w:r w:rsidRPr="005113BD">
        <w:rPr>
          <w:rFonts w:cs="Arial"/>
          <w:bCs/>
          <w:snapToGrid w:val="0"/>
          <w:szCs w:val="22"/>
        </w:rPr>
        <w:t>1. člen</w:t>
      </w:r>
      <w:bookmarkEnd w:id="20"/>
      <w:bookmarkEnd w:id="21"/>
      <w:bookmarkEnd w:id="22"/>
      <w:bookmarkEnd w:id="23"/>
      <w:bookmarkEnd w:id="24"/>
      <w:bookmarkEnd w:id="25"/>
      <w:bookmarkEnd w:id="26"/>
      <w:bookmarkEnd w:id="27"/>
      <w:bookmarkEnd w:id="28"/>
      <w:bookmarkEnd w:id="29"/>
    </w:p>
    <w:p w:rsidR="00610BD6" w:rsidRPr="005113BD" w:rsidRDefault="00610BD6" w:rsidP="00610BD6">
      <w:pPr>
        <w:jc w:val="center"/>
        <w:rPr>
          <w:rFonts w:cs="Arial"/>
          <w:bCs/>
          <w:snapToGrid w:val="0"/>
          <w:szCs w:val="22"/>
        </w:rPr>
      </w:pPr>
      <w:r w:rsidRPr="005113BD">
        <w:rPr>
          <w:rFonts w:cs="Arial"/>
          <w:bCs/>
          <w:snapToGrid w:val="0"/>
          <w:szCs w:val="22"/>
        </w:rPr>
        <w:t>(predmet odloka)</w:t>
      </w:r>
    </w:p>
    <w:p w:rsidR="00610BD6" w:rsidRPr="005113BD" w:rsidRDefault="00610BD6" w:rsidP="00610BD6">
      <w:pPr>
        <w:pStyle w:val="Glava"/>
        <w:tabs>
          <w:tab w:val="clear" w:pos="4536"/>
          <w:tab w:val="clear" w:pos="9072"/>
        </w:tabs>
        <w:jc w:val="both"/>
        <w:rPr>
          <w:rFonts w:cs="Arial"/>
          <w:szCs w:val="22"/>
        </w:rPr>
      </w:pPr>
    </w:p>
    <w:p w:rsidR="00610BD6" w:rsidRPr="005113BD" w:rsidRDefault="00610BD6" w:rsidP="00610BD6">
      <w:pPr>
        <w:jc w:val="both"/>
        <w:rPr>
          <w:rFonts w:cs="Arial"/>
          <w:szCs w:val="22"/>
        </w:rPr>
      </w:pPr>
      <w:r w:rsidRPr="005113BD">
        <w:rPr>
          <w:rFonts w:cs="Arial"/>
          <w:szCs w:val="22"/>
        </w:rPr>
        <w:t xml:space="preserve">(1) S tem odlokom se sprejme občinski podrobni prostorski načrt </w:t>
      </w:r>
      <w:r w:rsidRPr="005113BD">
        <w:rPr>
          <w:rFonts w:cs="Arial"/>
          <w:bCs/>
          <w:szCs w:val="22"/>
        </w:rPr>
        <w:t>za industrijsko cono Tojnice 1 (v nadaljnjem besedilu: OPPN)</w:t>
      </w:r>
      <w:r w:rsidRPr="005113BD">
        <w:rPr>
          <w:rFonts w:cs="Arial"/>
          <w:szCs w:val="22"/>
        </w:rPr>
        <w:t>.</w:t>
      </w:r>
    </w:p>
    <w:p w:rsidR="00610BD6" w:rsidRPr="005113BD" w:rsidRDefault="00610BD6" w:rsidP="00610BD6">
      <w:pPr>
        <w:jc w:val="both"/>
        <w:rPr>
          <w:rFonts w:cs="Arial"/>
          <w:szCs w:val="22"/>
        </w:rPr>
      </w:pPr>
      <w:r w:rsidRPr="005113BD">
        <w:rPr>
          <w:rFonts w:cs="Arial"/>
          <w:szCs w:val="22"/>
        </w:rPr>
        <w:t>(2) Ta odlok določa:</w:t>
      </w:r>
    </w:p>
    <w:p w:rsidR="00610BD6" w:rsidRPr="005113BD" w:rsidRDefault="00610BD6" w:rsidP="00610BD6">
      <w:pPr>
        <w:numPr>
          <w:ilvl w:val="0"/>
          <w:numId w:val="10"/>
        </w:numPr>
        <w:tabs>
          <w:tab w:val="clear" w:pos="720"/>
          <w:tab w:val="num" w:pos="426"/>
        </w:tabs>
        <w:ind w:left="426" w:hanging="426"/>
        <w:jc w:val="both"/>
        <w:rPr>
          <w:rFonts w:cs="Arial"/>
          <w:szCs w:val="22"/>
        </w:rPr>
      </w:pPr>
      <w:r w:rsidRPr="005113BD">
        <w:rPr>
          <w:rFonts w:cs="Arial"/>
          <w:szCs w:val="22"/>
        </w:rPr>
        <w:t>območje OPPN,</w:t>
      </w:r>
    </w:p>
    <w:p w:rsidR="00610BD6" w:rsidRPr="005113BD" w:rsidRDefault="00610BD6" w:rsidP="00610BD6">
      <w:pPr>
        <w:numPr>
          <w:ilvl w:val="0"/>
          <w:numId w:val="10"/>
        </w:numPr>
        <w:tabs>
          <w:tab w:val="clear" w:pos="720"/>
          <w:tab w:val="num" w:pos="426"/>
        </w:tabs>
        <w:ind w:left="426" w:hanging="426"/>
        <w:jc w:val="both"/>
        <w:rPr>
          <w:rFonts w:cs="Arial"/>
          <w:szCs w:val="22"/>
        </w:rPr>
      </w:pPr>
      <w:r w:rsidRPr="005113BD">
        <w:rPr>
          <w:rFonts w:cs="Arial"/>
          <w:szCs w:val="22"/>
        </w:rPr>
        <w:t>arhitekturne, krajinske in oblikovalske rešitve prostorskih ureditev,</w:t>
      </w:r>
    </w:p>
    <w:p w:rsidR="00610BD6" w:rsidRPr="005113BD" w:rsidRDefault="00610BD6" w:rsidP="00610BD6">
      <w:pPr>
        <w:numPr>
          <w:ilvl w:val="0"/>
          <w:numId w:val="10"/>
        </w:numPr>
        <w:tabs>
          <w:tab w:val="clear" w:pos="720"/>
          <w:tab w:val="num" w:pos="426"/>
        </w:tabs>
        <w:ind w:left="426" w:hanging="426"/>
        <w:jc w:val="both"/>
        <w:rPr>
          <w:rFonts w:cs="Arial"/>
          <w:szCs w:val="22"/>
        </w:rPr>
      </w:pPr>
      <w:r w:rsidRPr="005113BD">
        <w:rPr>
          <w:rFonts w:cs="Arial"/>
          <w:szCs w:val="22"/>
        </w:rPr>
        <w:t>načrt parcelacije,</w:t>
      </w:r>
    </w:p>
    <w:p w:rsidR="00610BD6" w:rsidRPr="005113BD" w:rsidRDefault="00610BD6" w:rsidP="00610BD6">
      <w:pPr>
        <w:numPr>
          <w:ilvl w:val="0"/>
          <w:numId w:val="10"/>
        </w:numPr>
        <w:tabs>
          <w:tab w:val="clear" w:pos="720"/>
          <w:tab w:val="num" w:pos="426"/>
        </w:tabs>
        <w:ind w:left="426" w:hanging="426"/>
        <w:jc w:val="both"/>
        <w:rPr>
          <w:rFonts w:cs="Arial"/>
          <w:szCs w:val="22"/>
        </w:rPr>
      </w:pPr>
      <w:r w:rsidRPr="005113BD">
        <w:rPr>
          <w:rFonts w:cs="Arial"/>
          <w:szCs w:val="22"/>
        </w:rPr>
        <w:t>etapnost izvedbe prostorske ureditve,</w:t>
      </w:r>
    </w:p>
    <w:p w:rsidR="00610BD6" w:rsidRPr="005113BD" w:rsidRDefault="00610BD6" w:rsidP="00610BD6">
      <w:pPr>
        <w:numPr>
          <w:ilvl w:val="0"/>
          <w:numId w:val="10"/>
        </w:numPr>
        <w:tabs>
          <w:tab w:val="clear" w:pos="720"/>
          <w:tab w:val="num" w:pos="426"/>
        </w:tabs>
        <w:ind w:left="426" w:hanging="426"/>
        <w:jc w:val="both"/>
        <w:rPr>
          <w:rFonts w:cs="Arial"/>
          <w:szCs w:val="22"/>
        </w:rPr>
      </w:pPr>
      <w:r w:rsidRPr="005113BD">
        <w:rPr>
          <w:rFonts w:cs="Arial"/>
          <w:szCs w:val="22"/>
        </w:rPr>
        <w:t>rešitve in ukrepe za varovanje okolja in naravnih virov ter ohranjanje narave,</w:t>
      </w:r>
    </w:p>
    <w:p w:rsidR="00610BD6" w:rsidRPr="005113BD" w:rsidRDefault="00610BD6" w:rsidP="00610BD6">
      <w:pPr>
        <w:numPr>
          <w:ilvl w:val="0"/>
          <w:numId w:val="10"/>
        </w:numPr>
        <w:tabs>
          <w:tab w:val="clear" w:pos="720"/>
          <w:tab w:val="num" w:pos="426"/>
        </w:tabs>
        <w:ind w:left="426" w:hanging="426"/>
        <w:jc w:val="both"/>
        <w:rPr>
          <w:rFonts w:cs="Arial"/>
          <w:szCs w:val="22"/>
        </w:rPr>
      </w:pPr>
      <w:r w:rsidRPr="005113BD">
        <w:rPr>
          <w:rFonts w:cs="Arial"/>
          <w:szCs w:val="22"/>
        </w:rPr>
        <w:t>rešitve in ukrepe za obrambo ter varstvo pred naravnimi in drugimi nesrečami, vključno z varstvom pred požarom,</w:t>
      </w:r>
    </w:p>
    <w:p w:rsidR="00610BD6" w:rsidRPr="005113BD" w:rsidRDefault="00610BD6" w:rsidP="00610BD6">
      <w:pPr>
        <w:numPr>
          <w:ilvl w:val="0"/>
          <w:numId w:val="10"/>
        </w:numPr>
        <w:tabs>
          <w:tab w:val="clear" w:pos="720"/>
          <w:tab w:val="num" w:pos="426"/>
        </w:tabs>
        <w:ind w:left="426" w:hanging="426"/>
        <w:jc w:val="both"/>
        <w:rPr>
          <w:rFonts w:cs="Arial"/>
          <w:szCs w:val="22"/>
        </w:rPr>
      </w:pPr>
      <w:r w:rsidRPr="005113BD">
        <w:rPr>
          <w:rFonts w:cs="Arial"/>
          <w:szCs w:val="22"/>
        </w:rPr>
        <w:t>pogoje glede priključevanja objektov na gospodarsko javno infrastrukturo in grajeno javno dobro,</w:t>
      </w:r>
    </w:p>
    <w:p w:rsidR="00610BD6" w:rsidRPr="005113BD" w:rsidRDefault="00610BD6" w:rsidP="00610BD6">
      <w:pPr>
        <w:numPr>
          <w:ilvl w:val="0"/>
          <w:numId w:val="10"/>
        </w:numPr>
        <w:tabs>
          <w:tab w:val="clear" w:pos="720"/>
          <w:tab w:val="num" w:pos="426"/>
        </w:tabs>
        <w:ind w:left="426" w:hanging="426"/>
        <w:jc w:val="both"/>
        <w:rPr>
          <w:rFonts w:cs="Arial"/>
          <w:szCs w:val="22"/>
        </w:rPr>
      </w:pPr>
      <w:r w:rsidRPr="005113BD">
        <w:rPr>
          <w:rFonts w:cs="Arial"/>
          <w:szCs w:val="22"/>
        </w:rPr>
        <w:t>program opremljanja stavbnih zemljišč,</w:t>
      </w:r>
    </w:p>
    <w:p w:rsidR="00610BD6" w:rsidRPr="005113BD" w:rsidRDefault="00610BD6" w:rsidP="00610BD6">
      <w:pPr>
        <w:numPr>
          <w:ilvl w:val="0"/>
          <w:numId w:val="10"/>
        </w:numPr>
        <w:tabs>
          <w:tab w:val="clear" w:pos="720"/>
          <w:tab w:val="num" w:pos="426"/>
        </w:tabs>
        <w:ind w:left="426" w:hanging="426"/>
        <w:jc w:val="both"/>
        <w:rPr>
          <w:rFonts w:cs="Arial"/>
          <w:szCs w:val="22"/>
        </w:rPr>
      </w:pPr>
      <w:r w:rsidRPr="005113BD">
        <w:rPr>
          <w:rFonts w:cs="Arial"/>
          <w:szCs w:val="22"/>
        </w:rPr>
        <w:t xml:space="preserve">druge pogoje in zahteve za izvajanje OPPN. </w:t>
      </w:r>
    </w:p>
    <w:p w:rsidR="00610BD6" w:rsidRPr="005113BD" w:rsidRDefault="00610BD6" w:rsidP="00610BD6">
      <w:pPr>
        <w:pStyle w:val="Glava"/>
        <w:tabs>
          <w:tab w:val="clear" w:pos="4536"/>
          <w:tab w:val="clear" w:pos="9072"/>
        </w:tabs>
        <w:jc w:val="both"/>
        <w:rPr>
          <w:rFonts w:cs="Arial"/>
          <w:szCs w:val="22"/>
        </w:rPr>
      </w:pPr>
    </w:p>
    <w:p w:rsidR="00610BD6" w:rsidRPr="005113BD" w:rsidRDefault="00610BD6" w:rsidP="00610BD6">
      <w:pPr>
        <w:jc w:val="center"/>
        <w:rPr>
          <w:rFonts w:cs="Arial"/>
          <w:bCs/>
          <w:szCs w:val="22"/>
        </w:rPr>
      </w:pPr>
      <w:r w:rsidRPr="005113BD">
        <w:rPr>
          <w:rFonts w:cs="Arial"/>
          <w:bCs/>
          <w:szCs w:val="22"/>
        </w:rPr>
        <w:t>2. člen</w:t>
      </w:r>
    </w:p>
    <w:p w:rsidR="00610BD6" w:rsidRPr="005113BD" w:rsidRDefault="00610BD6" w:rsidP="00610BD6">
      <w:pPr>
        <w:jc w:val="center"/>
        <w:rPr>
          <w:rFonts w:cs="Arial"/>
          <w:bCs/>
          <w:szCs w:val="22"/>
        </w:rPr>
      </w:pPr>
      <w:r w:rsidRPr="005113BD">
        <w:rPr>
          <w:rFonts w:cs="Arial"/>
          <w:bCs/>
          <w:szCs w:val="22"/>
        </w:rPr>
        <w:t>(prostorske ureditve, ki se urejajo z OPPN)</w:t>
      </w:r>
    </w:p>
    <w:p w:rsidR="00610BD6" w:rsidRPr="005113BD" w:rsidRDefault="00610BD6" w:rsidP="00610BD6">
      <w:pPr>
        <w:jc w:val="center"/>
        <w:rPr>
          <w:rFonts w:cs="Arial"/>
          <w:szCs w:val="22"/>
        </w:rPr>
      </w:pPr>
    </w:p>
    <w:p w:rsidR="00610BD6" w:rsidRPr="005113BD" w:rsidRDefault="00610BD6" w:rsidP="00610BD6">
      <w:pPr>
        <w:pStyle w:val="Glava"/>
        <w:tabs>
          <w:tab w:val="clear" w:pos="4536"/>
          <w:tab w:val="clear" w:pos="9072"/>
        </w:tabs>
        <w:jc w:val="both"/>
        <w:rPr>
          <w:rFonts w:cs="Arial"/>
          <w:szCs w:val="22"/>
        </w:rPr>
      </w:pPr>
      <w:r w:rsidRPr="005113BD">
        <w:rPr>
          <w:rFonts w:cs="Arial"/>
          <w:szCs w:val="22"/>
        </w:rPr>
        <w:t>(1) S tem odlokom se načrtuje gradnja industrijskih objektov za proizvodnjo, skladiščenje in spremljajoče dejavnosti, ureditev zunanjih in prometnih površin ter izgradnja dovozne ceste.</w:t>
      </w:r>
    </w:p>
    <w:p w:rsidR="00610BD6" w:rsidRPr="005113BD" w:rsidRDefault="00610BD6" w:rsidP="00610BD6">
      <w:pPr>
        <w:pStyle w:val="Glava"/>
        <w:tabs>
          <w:tab w:val="clear" w:pos="4536"/>
          <w:tab w:val="clear" w:pos="9072"/>
        </w:tabs>
        <w:jc w:val="both"/>
        <w:rPr>
          <w:rFonts w:cs="Arial"/>
          <w:szCs w:val="22"/>
        </w:rPr>
      </w:pPr>
      <w:r w:rsidRPr="005113BD">
        <w:rPr>
          <w:rFonts w:cs="Arial"/>
          <w:szCs w:val="22"/>
        </w:rPr>
        <w:t>(2) Ta odlok določa prostorsko ureditev območja</w:t>
      </w:r>
      <w:r w:rsidRPr="005113BD" w:rsidDel="00BF048B">
        <w:rPr>
          <w:rFonts w:cs="Arial"/>
          <w:szCs w:val="22"/>
        </w:rPr>
        <w:t xml:space="preserve"> </w:t>
      </w:r>
      <w:r w:rsidRPr="005113BD">
        <w:rPr>
          <w:rFonts w:cs="Arial"/>
          <w:szCs w:val="22"/>
        </w:rPr>
        <w:t>OPPN, pogoje za gradnjo novih objektov, ureditev utrjenih in zelenih površin ter pogoje za gradnjo prometne, energetske, komunalne in telekomunikacijske infrastrukture.</w:t>
      </w:r>
    </w:p>
    <w:p w:rsidR="00610BD6" w:rsidRPr="005113BD" w:rsidRDefault="00610BD6" w:rsidP="00610BD6">
      <w:pPr>
        <w:pStyle w:val="Glava"/>
        <w:tabs>
          <w:tab w:val="clear" w:pos="4536"/>
          <w:tab w:val="clear" w:pos="9072"/>
        </w:tabs>
        <w:ind w:left="360"/>
        <w:jc w:val="both"/>
        <w:rPr>
          <w:rFonts w:cs="Arial"/>
          <w:szCs w:val="22"/>
        </w:rPr>
      </w:pPr>
    </w:p>
    <w:p w:rsidR="00610BD6" w:rsidRPr="005113BD" w:rsidRDefault="00610BD6" w:rsidP="00610BD6">
      <w:pPr>
        <w:jc w:val="center"/>
        <w:rPr>
          <w:rFonts w:cs="Arial"/>
          <w:bCs/>
          <w:szCs w:val="22"/>
        </w:rPr>
      </w:pPr>
      <w:r w:rsidRPr="005113BD">
        <w:rPr>
          <w:rFonts w:cs="Arial"/>
          <w:bCs/>
          <w:szCs w:val="22"/>
        </w:rPr>
        <w:t>3. člen</w:t>
      </w:r>
    </w:p>
    <w:p w:rsidR="00610BD6" w:rsidRPr="005113BD" w:rsidRDefault="00610BD6" w:rsidP="00610BD6">
      <w:pPr>
        <w:jc w:val="center"/>
        <w:rPr>
          <w:rFonts w:cs="Arial"/>
          <w:bCs/>
          <w:szCs w:val="22"/>
        </w:rPr>
      </w:pPr>
      <w:r w:rsidRPr="005113BD">
        <w:rPr>
          <w:rFonts w:cs="Arial"/>
          <w:bCs/>
          <w:szCs w:val="22"/>
        </w:rPr>
        <w:t>(sestavni deli OPPN)</w:t>
      </w:r>
    </w:p>
    <w:p w:rsidR="00610BD6" w:rsidRPr="005113BD" w:rsidRDefault="00610BD6" w:rsidP="00610BD6">
      <w:pPr>
        <w:pStyle w:val="Glava"/>
        <w:tabs>
          <w:tab w:val="clear" w:pos="4536"/>
          <w:tab w:val="clear" w:pos="9072"/>
        </w:tabs>
        <w:jc w:val="both"/>
        <w:rPr>
          <w:rFonts w:cs="Arial"/>
          <w:szCs w:val="22"/>
        </w:rPr>
      </w:pPr>
    </w:p>
    <w:p w:rsidR="00610BD6" w:rsidRPr="005113BD" w:rsidRDefault="00610BD6" w:rsidP="00610BD6">
      <w:pPr>
        <w:pStyle w:val="Telobesedila"/>
        <w:rPr>
          <w:rFonts w:cs="Arial"/>
          <w:b w:val="0"/>
          <w:szCs w:val="22"/>
        </w:rPr>
      </w:pPr>
      <w:r w:rsidRPr="005113BD">
        <w:rPr>
          <w:rFonts w:cs="Arial"/>
          <w:b w:val="0"/>
          <w:szCs w:val="22"/>
        </w:rPr>
        <w:t xml:space="preserve">(1) Ta odlok vsebuje tekstualni del (besedilo odloka) in grafični del. </w:t>
      </w:r>
    </w:p>
    <w:p w:rsidR="00610BD6" w:rsidRPr="005113BD" w:rsidRDefault="00610BD6" w:rsidP="00610BD6">
      <w:pPr>
        <w:jc w:val="both"/>
        <w:rPr>
          <w:rFonts w:cs="Arial"/>
          <w:szCs w:val="22"/>
        </w:rPr>
      </w:pPr>
      <w:r w:rsidRPr="005113BD">
        <w:rPr>
          <w:rFonts w:cs="Arial"/>
          <w:szCs w:val="22"/>
        </w:rPr>
        <w:t>(2) Grafični del odloka obsega naslednje grafične načrte:</w:t>
      </w:r>
    </w:p>
    <w:p w:rsidR="00610BD6" w:rsidRPr="005113BD" w:rsidRDefault="00610BD6" w:rsidP="00610BD6">
      <w:pPr>
        <w:jc w:val="both"/>
        <w:rPr>
          <w:rFonts w:cs="Arial"/>
          <w:szCs w:val="22"/>
        </w:rPr>
      </w:pPr>
      <w:r w:rsidRPr="005113BD">
        <w:rPr>
          <w:rFonts w:cs="Arial"/>
          <w:szCs w:val="22"/>
        </w:rPr>
        <w:t xml:space="preserve">1. </w:t>
      </w:r>
      <w:r w:rsidRPr="005113BD">
        <w:rPr>
          <w:rFonts w:cs="Arial"/>
          <w:szCs w:val="22"/>
        </w:rPr>
        <w:tab/>
        <w:t>Načrt namenske rabe prostora – izsek iz OPN</w:t>
      </w:r>
      <w:r w:rsidRPr="005113BD">
        <w:rPr>
          <w:rFonts w:cs="Arial"/>
          <w:szCs w:val="22"/>
        </w:rPr>
        <w:tab/>
      </w:r>
      <w:r w:rsidRPr="005113BD">
        <w:rPr>
          <w:rFonts w:cs="Arial"/>
          <w:szCs w:val="22"/>
        </w:rPr>
        <w:tab/>
      </w:r>
      <w:r w:rsidRPr="005113BD">
        <w:rPr>
          <w:rFonts w:cs="Arial"/>
          <w:szCs w:val="22"/>
        </w:rPr>
        <w:tab/>
      </w:r>
      <w:r w:rsidRPr="005113BD">
        <w:rPr>
          <w:rFonts w:cs="Arial"/>
          <w:szCs w:val="22"/>
        </w:rPr>
        <w:tab/>
        <w:t>M 1 : 2500</w:t>
      </w:r>
    </w:p>
    <w:p w:rsidR="00610BD6" w:rsidRPr="005113BD" w:rsidRDefault="00610BD6" w:rsidP="00610BD6">
      <w:pPr>
        <w:jc w:val="both"/>
        <w:rPr>
          <w:rFonts w:cs="Arial"/>
          <w:szCs w:val="22"/>
        </w:rPr>
      </w:pPr>
      <w:r w:rsidRPr="005113BD">
        <w:rPr>
          <w:rFonts w:cs="Arial"/>
          <w:szCs w:val="22"/>
        </w:rPr>
        <w:t xml:space="preserve">2. </w:t>
      </w:r>
      <w:r w:rsidRPr="005113BD">
        <w:rPr>
          <w:rFonts w:cs="Arial"/>
          <w:szCs w:val="22"/>
        </w:rPr>
        <w:tab/>
        <w:t>Vplivi in povezave s sosednjimi enotami urejanja prostora</w:t>
      </w:r>
      <w:r w:rsidRPr="005113BD">
        <w:rPr>
          <w:rFonts w:cs="Arial"/>
          <w:szCs w:val="22"/>
        </w:rPr>
        <w:tab/>
      </w:r>
      <w:r w:rsidRPr="005113BD">
        <w:rPr>
          <w:rFonts w:cs="Arial"/>
          <w:szCs w:val="22"/>
        </w:rPr>
        <w:tab/>
      </w:r>
      <w:r w:rsidRPr="005113BD">
        <w:rPr>
          <w:rFonts w:cs="Arial"/>
          <w:szCs w:val="22"/>
        </w:rPr>
        <w:tab/>
        <w:t>M 1 : 2500</w:t>
      </w:r>
    </w:p>
    <w:p w:rsidR="00610BD6" w:rsidRPr="005113BD" w:rsidRDefault="00610BD6" w:rsidP="00610BD6">
      <w:pPr>
        <w:jc w:val="both"/>
        <w:rPr>
          <w:rFonts w:cs="Arial"/>
          <w:szCs w:val="22"/>
        </w:rPr>
      </w:pPr>
      <w:r w:rsidRPr="005113BD">
        <w:rPr>
          <w:rFonts w:cs="Arial"/>
          <w:szCs w:val="22"/>
        </w:rPr>
        <w:t xml:space="preserve">3. </w:t>
      </w:r>
      <w:r w:rsidRPr="005113BD">
        <w:rPr>
          <w:rFonts w:cs="Arial"/>
          <w:szCs w:val="22"/>
        </w:rPr>
        <w:tab/>
        <w:t>Načrt območja z načrtom parcelacije</w:t>
      </w:r>
    </w:p>
    <w:p w:rsidR="00610BD6" w:rsidRPr="005113BD" w:rsidRDefault="00610BD6" w:rsidP="00610BD6">
      <w:pPr>
        <w:jc w:val="both"/>
        <w:rPr>
          <w:rFonts w:cs="Arial"/>
          <w:szCs w:val="22"/>
        </w:rPr>
      </w:pPr>
      <w:r w:rsidRPr="005113BD">
        <w:rPr>
          <w:rFonts w:cs="Arial"/>
          <w:szCs w:val="22"/>
        </w:rPr>
        <w:t xml:space="preserve">3.1. </w:t>
      </w:r>
      <w:r w:rsidRPr="005113BD">
        <w:rPr>
          <w:rFonts w:cs="Arial"/>
          <w:szCs w:val="22"/>
        </w:rPr>
        <w:tab/>
        <w:t>Katastrski načrt s prikazom območja OPPN</w:t>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t>M 1 : 1000</w:t>
      </w:r>
    </w:p>
    <w:p w:rsidR="00610BD6" w:rsidRPr="005113BD" w:rsidRDefault="00610BD6" w:rsidP="00610BD6">
      <w:pPr>
        <w:jc w:val="both"/>
        <w:rPr>
          <w:rFonts w:cs="Arial"/>
          <w:szCs w:val="22"/>
        </w:rPr>
      </w:pPr>
      <w:r w:rsidRPr="005113BD">
        <w:rPr>
          <w:rFonts w:cs="Arial"/>
          <w:szCs w:val="22"/>
        </w:rPr>
        <w:t xml:space="preserve">3.2. </w:t>
      </w:r>
      <w:r w:rsidRPr="005113BD">
        <w:rPr>
          <w:rFonts w:cs="Arial"/>
          <w:szCs w:val="22"/>
        </w:rPr>
        <w:tab/>
        <w:t>Geodetski načrt s prikazom območja OPPN</w:t>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t>M 1 : 500</w:t>
      </w:r>
    </w:p>
    <w:p w:rsidR="00610BD6" w:rsidRPr="005113BD" w:rsidRDefault="00610BD6" w:rsidP="00610BD6">
      <w:pPr>
        <w:jc w:val="both"/>
        <w:rPr>
          <w:rFonts w:cs="Arial"/>
          <w:szCs w:val="22"/>
        </w:rPr>
      </w:pPr>
      <w:r w:rsidRPr="005113BD">
        <w:rPr>
          <w:rFonts w:cs="Arial"/>
          <w:szCs w:val="22"/>
        </w:rPr>
        <w:t xml:space="preserve">3.3. </w:t>
      </w:r>
      <w:r w:rsidRPr="005113BD">
        <w:rPr>
          <w:rFonts w:cs="Arial"/>
          <w:szCs w:val="22"/>
        </w:rPr>
        <w:tab/>
        <w:t xml:space="preserve">Načrt obodne parcelacije, parcelacije zemljišč in </w:t>
      </w:r>
      <w:proofErr w:type="spellStart"/>
      <w:r w:rsidRPr="005113BD">
        <w:rPr>
          <w:rFonts w:cs="Arial"/>
          <w:szCs w:val="22"/>
        </w:rPr>
        <w:t>zakoličbe</w:t>
      </w:r>
      <w:proofErr w:type="spellEnd"/>
      <w:r w:rsidRPr="005113BD">
        <w:rPr>
          <w:rFonts w:cs="Arial"/>
          <w:szCs w:val="22"/>
        </w:rPr>
        <w:t xml:space="preserve"> objektov </w:t>
      </w:r>
    </w:p>
    <w:p w:rsidR="00610BD6" w:rsidRPr="005113BD" w:rsidRDefault="00610BD6" w:rsidP="00610BD6">
      <w:pPr>
        <w:jc w:val="both"/>
        <w:rPr>
          <w:rFonts w:cs="Arial"/>
          <w:szCs w:val="22"/>
        </w:rPr>
      </w:pPr>
      <w:r w:rsidRPr="005113BD">
        <w:rPr>
          <w:rFonts w:cs="Arial"/>
          <w:szCs w:val="22"/>
        </w:rPr>
        <w:tab/>
        <w:t>na katastrskem načrtu</w:t>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t>M 1 : 1000</w:t>
      </w:r>
    </w:p>
    <w:p w:rsidR="00610BD6" w:rsidRPr="005113BD" w:rsidRDefault="00610BD6" w:rsidP="00610BD6">
      <w:pPr>
        <w:jc w:val="both"/>
        <w:rPr>
          <w:rFonts w:cs="Arial"/>
          <w:szCs w:val="22"/>
        </w:rPr>
      </w:pPr>
      <w:r w:rsidRPr="005113BD">
        <w:rPr>
          <w:rFonts w:cs="Arial"/>
          <w:szCs w:val="22"/>
        </w:rPr>
        <w:t xml:space="preserve">3.4. </w:t>
      </w:r>
      <w:r w:rsidRPr="005113BD">
        <w:rPr>
          <w:rFonts w:cs="Arial"/>
          <w:szCs w:val="22"/>
        </w:rPr>
        <w:tab/>
        <w:t xml:space="preserve">Načrt obodne parcelacije, parcelacije zemljišč in </w:t>
      </w:r>
      <w:proofErr w:type="spellStart"/>
      <w:r w:rsidRPr="005113BD">
        <w:rPr>
          <w:rFonts w:cs="Arial"/>
          <w:szCs w:val="22"/>
        </w:rPr>
        <w:t>zakoličbe</w:t>
      </w:r>
      <w:proofErr w:type="spellEnd"/>
      <w:r w:rsidRPr="005113BD">
        <w:rPr>
          <w:rFonts w:cs="Arial"/>
          <w:szCs w:val="22"/>
        </w:rPr>
        <w:t xml:space="preserve"> objektov </w:t>
      </w:r>
    </w:p>
    <w:p w:rsidR="00610BD6" w:rsidRPr="005113BD" w:rsidRDefault="00610BD6" w:rsidP="00610BD6">
      <w:pPr>
        <w:jc w:val="both"/>
        <w:rPr>
          <w:rFonts w:cs="Arial"/>
          <w:szCs w:val="22"/>
        </w:rPr>
      </w:pPr>
      <w:r w:rsidRPr="005113BD">
        <w:rPr>
          <w:rFonts w:cs="Arial"/>
          <w:szCs w:val="22"/>
        </w:rPr>
        <w:tab/>
        <w:t>na geodetskem načrtu</w:t>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t>M 1 : 500</w:t>
      </w:r>
    </w:p>
    <w:p w:rsidR="00610BD6" w:rsidRPr="005113BD" w:rsidRDefault="00610BD6" w:rsidP="00610BD6">
      <w:pPr>
        <w:jc w:val="both"/>
        <w:rPr>
          <w:rFonts w:cs="Arial"/>
          <w:szCs w:val="22"/>
        </w:rPr>
      </w:pPr>
      <w:r w:rsidRPr="005113BD">
        <w:rPr>
          <w:rFonts w:cs="Arial"/>
          <w:szCs w:val="22"/>
        </w:rPr>
        <w:t xml:space="preserve">4. </w:t>
      </w:r>
      <w:r w:rsidRPr="005113BD">
        <w:rPr>
          <w:rFonts w:cs="Arial"/>
          <w:szCs w:val="22"/>
        </w:rPr>
        <w:tab/>
        <w:t>Načrt arhitekturnih, krajinskih in oblikovalskih rešitev prostorskih ureditev</w:t>
      </w:r>
    </w:p>
    <w:p w:rsidR="00610BD6" w:rsidRPr="005113BD" w:rsidRDefault="00610BD6" w:rsidP="00610BD6">
      <w:pPr>
        <w:jc w:val="both"/>
        <w:rPr>
          <w:rFonts w:cs="Arial"/>
          <w:szCs w:val="22"/>
        </w:rPr>
      </w:pPr>
      <w:r w:rsidRPr="005113BD">
        <w:rPr>
          <w:rFonts w:cs="Arial"/>
          <w:szCs w:val="22"/>
        </w:rPr>
        <w:lastRenderedPageBreak/>
        <w:t xml:space="preserve">4.1. </w:t>
      </w:r>
      <w:r w:rsidRPr="005113BD">
        <w:rPr>
          <w:rFonts w:cs="Arial"/>
          <w:szCs w:val="22"/>
        </w:rPr>
        <w:tab/>
        <w:t>Ureditvena situacija – nivo pritličja</w:t>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t>M 1 : 500</w:t>
      </w:r>
    </w:p>
    <w:p w:rsidR="00610BD6" w:rsidRPr="005113BD" w:rsidRDefault="00610BD6" w:rsidP="00610BD6">
      <w:pPr>
        <w:jc w:val="both"/>
        <w:rPr>
          <w:rFonts w:cs="Arial"/>
          <w:szCs w:val="22"/>
        </w:rPr>
      </w:pPr>
      <w:r w:rsidRPr="005113BD">
        <w:rPr>
          <w:rFonts w:cs="Arial"/>
          <w:szCs w:val="22"/>
        </w:rPr>
        <w:t xml:space="preserve">4.2. </w:t>
      </w:r>
      <w:r w:rsidRPr="005113BD">
        <w:rPr>
          <w:rFonts w:cs="Arial"/>
          <w:szCs w:val="22"/>
        </w:rPr>
        <w:tab/>
        <w:t>Ureditvena situacija – strehe in prerezi</w:t>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t>M 1 : 500</w:t>
      </w:r>
    </w:p>
    <w:p w:rsidR="00610BD6" w:rsidRPr="005113BD" w:rsidRDefault="00610BD6" w:rsidP="00610BD6">
      <w:pPr>
        <w:jc w:val="both"/>
        <w:rPr>
          <w:rFonts w:cs="Arial"/>
          <w:szCs w:val="22"/>
        </w:rPr>
      </w:pPr>
      <w:r w:rsidRPr="005113BD">
        <w:rPr>
          <w:rFonts w:cs="Arial"/>
          <w:szCs w:val="22"/>
        </w:rPr>
        <w:t>4.3.</w:t>
      </w:r>
      <w:r w:rsidRPr="005113BD">
        <w:rPr>
          <w:rFonts w:cs="Arial"/>
          <w:szCs w:val="22"/>
        </w:rPr>
        <w:tab/>
        <w:t>Komunalna ureditev</w:t>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sidDel="00883F7A">
        <w:rPr>
          <w:rFonts w:cs="Arial"/>
          <w:szCs w:val="22"/>
        </w:rPr>
        <w:t xml:space="preserve"> </w:t>
      </w:r>
      <w:r w:rsidRPr="005113BD">
        <w:rPr>
          <w:rFonts w:cs="Arial"/>
          <w:szCs w:val="22"/>
        </w:rPr>
        <w:tab/>
      </w:r>
      <w:r w:rsidRPr="005113BD">
        <w:rPr>
          <w:rFonts w:cs="Arial"/>
          <w:szCs w:val="22"/>
        </w:rPr>
        <w:tab/>
      </w:r>
      <w:r w:rsidRPr="005113BD">
        <w:rPr>
          <w:rFonts w:cs="Arial"/>
          <w:szCs w:val="22"/>
        </w:rPr>
        <w:tab/>
        <w:t>M 1 : 500</w:t>
      </w:r>
    </w:p>
    <w:p w:rsidR="00610BD6" w:rsidRPr="005113BD" w:rsidRDefault="00610BD6" w:rsidP="00610BD6">
      <w:pPr>
        <w:jc w:val="both"/>
        <w:rPr>
          <w:rFonts w:cs="Arial"/>
          <w:szCs w:val="22"/>
        </w:rPr>
      </w:pPr>
      <w:r w:rsidRPr="005113BD">
        <w:rPr>
          <w:rFonts w:cs="Arial"/>
          <w:szCs w:val="22"/>
        </w:rPr>
        <w:t xml:space="preserve">4.4. </w:t>
      </w:r>
      <w:r w:rsidRPr="005113BD">
        <w:rPr>
          <w:rFonts w:cs="Arial"/>
          <w:szCs w:val="22"/>
        </w:rPr>
        <w:tab/>
        <w:t>Prometno tehnična situacija in idejna višinska regulacija</w:t>
      </w:r>
      <w:r w:rsidRPr="005113BD">
        <w:rPr>
          <w:rFonts w:cs="Arial"/>
          <w:szCs w:val="22"/>
        </w:rPr>
        <w:tab/>
      </w:r>
      <w:r w:rsidRPr="005113BD">
        <w:rPr>
          <w:rFonts w:cs="Arial"/>
          <w:szCs w:val="22"/>
        </w:rPr>
        <w:tab/>
      </w:r>
      <w:r w:rsidRPr="005113BD">
        <w:rPr>
          <w:rFonts w:cs="Arial"/>
          <w:szCs w:val="22"/>
        </w:rPr>
        <w:tab/>
        <w:t>M 1 : 500</w:t>
      </w:r>
    </w:p>
    <w:p w:rsidR="00610BD6" w:rsidRPr="005113BD" w:rsidRDefault="00610BD6" w:rsidP="00610BD6">
      <w:pPr>
        <w:jc w:val="both"/>
        <w:rPr>
          <w:rFonts w:cs="Arial"/>
          <w:szCs w:val="22"/>
        </w:rPr>
      </w:pPr>
      <w:r w:rsidRPr="005113BD">
        <w:rPr>
          <w:rFonts w:cs="Arial"/>
          <w:szCs w:val="22"/>
        </w:rPr>
        <w:t xml:space="preserve">4.5. </w:t>
      </w:r>
      <w:r w:rsidRPr="005113BD">
        <w:rPr>
          <w:rFonts w:cs="Arial"/>
          <w:szCs w:val="22"/>
        </w:rPr>
        <w:tab/>
        <w:t xml:space="preserve">Prikaz ureditev, potrebnih za obrambo in varstvo pred naravnimi in </w:t>
      </w:r>
    </w:p>
    <w:p w:rsidR="00610BD6" w:rsidRPr="005113BD" w:rsidRDefault="00610BD6" w:rsidP="00610BD6">
      <w:pPr>
        <w:jc w:val="both"/>
        <w:rPr>
          <w:rFonts w:cs="Arial"/>
          <w:szCs w:val="22"/>
        </w:rPr>
      </w:pPr>
      <w:r w:rsidRPr="005113BD">
        <w:rPr>
          <w:rFonts w:cs="Arial"/>
          <w:szCs w:val="22"/>
        </w:rPr>
        <w:tab/>
        <w:t>drugimi nesrečami, ter načrt intervencijskih poti</w:t>
      </w:r>
      <w:r w:rsidRPr="005113BD">
        <w:rPr>
          <w:rFonts w:cs="Arial"/>
          <w:szCs w:val="22"/>
        </w:rPr>
        <w:tab/>
      </w:r>
      <w:r w:rsidRPr="005113BD">
        <w:rPr>
          <w:rFonts w:cs="Arial"/>
          <w:szCs w:val="22"/>
        </w:rPr>
        <w:tab/>
      </w:r>
      <w:r w:rsidRPr="005113BD">
        <w:rPr>
          <w:rFonts w:cs="Arial"/>
          <w:szCs w:val="22"/>
        </w:rPr>
        <w:tab/>
      </w:r>
      <w:r w:rsidRPr="005113BD">
        <w:rPr>
          <w:rFonts w:cs="Arial"/>
          <w:szCs w:val="22"/>
        </w:rPr>
        <w:tab/>
        <w:t>M 1 :1 000</w:t>
      </w:r>
    </w:p>
    <w:p w:rsidR="00610BD6" w:rsidRPr="005113BD" w:rsidRDefault="00610BD6" w:rsidP="00610BD6">
      <w:pPr>
        <w:jc w:val="both"/>
        <w:rPr>
          <w:rFonts w:cs="Arial"/>
          <w:szCs w:val="22"/>
        </w:rPr>
      </w:pPr>
      <w:r w:rsidRPr="005113BD">
        <w:rPr>
          <w:rFonts w:cs="Arial"/>
          <w:szCs w:val="22"/>
        </w:rPr>
        <w:t xml:space="preserve">4.6. </w:t>
      </w:r>
      <w:r w:rsidRPr="005113BD">
        <w:rPr>
          <w:rFonts w:cs="Arial"/>
          <w:szCs w:val="22"/>
        </w:rPr>
        <w:tab/>
        <w:t>Načrt odstranitve objektov</w:t>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t>M 1 : 1000</w:t>
      </w:r>
    </w:p>
    <w:p w:rsidR="00610BD6" w:rsidRPr="005113BD" w:rsidRDefault="00610BD6" w:rsidP="00610BD6">
      <w:pPr>
        <w:jc w:val="both"/>
        <w:rPr>
          <w:rFonts w:cs="Arial"/>
          <w:szCs w:val="22"/>
        </w:rPr>
      </w:pPr>
      <w:r w:rsidRPr="005113BD">
        <w:rPr>
          <w:rFonts w:cs="Arial"/>
          <w:szCs w:val="22"/>
        </w:rPr>
        <w:t xml:space="preserve">4.7. </w:t>
      </w:r>
      <w:r w:rsidRPr="005113BD">
        <w:rPr>
          <w:rFonts w:cs="Arial"/>
          <w:szCs w:val="22"/>
        </w:rPr>
        <w:tab/>
        <w:t>Prikaz celovitega protipoplavnega ukrepa</w:t>
      </w:r>
      <w:r w:rsidRPr="005113BD">
        <w:rPr>
          <w:rFonts w:cs="Arial"/>
          <w:szCs w:val="22"/>
        </w:rPr>
        <w:tab/>
      </w:r>
      <w:r w:rsidRPr="005113BD">
        <w:rPr>
          <w:rFonts w:cs="Arial"/>
          <w:szCs w:val="22"/>
        </w:rPr>
        <w:tab/>
      </w:r>
      <w:r w:rsidRPr="005113BD">
        <w:rPr>
          <w:rFonts w:cs="Arial"/>
          <w:szCs w:val="22"/>
        </w:rPr>
        <w:tab/>
      </w:r>
      <w:r w:rsidRPr="005113BD">
        <w:rPr>
          <w:rFonts w:cs="Arial"/>
          <w:szCs w:val="22"/>
        </w:rPr>
        <w:tab/>
      </w:r>
      <w:r w:rsidRPr="005113BD">
        <w:rPr>
          <w:rFonts w:cs="Arial"/>
          <w:szCs w:val="22"/>
        </w:rPr>
        <w:tab/>
        <w:t>M 1 : 1000</w:t>
      </w: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t>4. člen</w:t>
      </w:r>
    </w:p>
    <w:p w:rsidR="00610BD6" w:rsidRPr="005113BD" w:rsidRDefault="00610BD6" w:rsidP="00610BD6">
      <w:pPr>
        <w:jc w:val="center"/>
        <w:rPr>
          <w:rFonts w:cs="Arial"/>
          <w:bCs/>
          <w:szCs w:val="22"/>
        </w:rPr>
      </w:pPr>
      <w:r w:rsidRPr="005113BD">
        <w:rPr>
          <w:rFonts w:cs="Arial"/>
          <w:bCs/>
          <w:szCs w:val="22"/>
        </w:rPr>
        <w:t>(priloge OPPN)</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Priloge OPPN so:</w:t>
      </w:r>
    </w:p>
    <w:p w:rsidR="00610BD6" w:rsidRPr="005113BD" w:rsidRDefault="00610BD6" w:rsidP="00610BD6">
      <w:pPr>
        <w:pStyle w:val="Glava"/>
        <w:numPr>
          <w:ilvl w:val="0"/>
          <w:numId w:val="11"/>
        </w:numPr>
        <w:tabs>
          <w:tab w:val="clear" w:pos="4536"/>
          <w:tab w:val="clear" w:pos="9072"/>
        </w:tabs>
        <w:ind w:left="426" w:hanging="426"/>
        <w:jc w:val="both"/>
        <w:rPr>
          <w:rFonts w:cs="Arial"/>
          <w:szCs w:val="22"/>
        </w:rPr>
      </w:pPr>
      <w:r w:rsidRPr="005113BD">
        <w:rPr>
          <w:rFonts w:cs="Arial"/>
          <w:szCs w:val="22"/>
        </w:rPr>
        <w:t>izvleček iz strateškega prostorskega akta,</w:t>
      </w:r>
    </w:p>
    <w:p w:rsidR="00610BD6" w:rsidRPr="005113BD" w:rsidRDefault="00610BD6" w:rsidP="00610BD6">
      <w:pPr>
        <w:pStyle w:val="Glava"/>
        <w:numPr>
          <w:ilvl w:val="0"/>
          <w:numId w:val="11"/>
        </w:numPr>
        <w:tabs>
          <w:tab w:val="clear" w:pos="4536"/>
          <w:tab w:val="clear" w:pos="9072"/>
        </w:tabs>
        <w:ind w:left="426" w:hanging="426"/>
        <w:jc w:val="both"/>
        <w:rPr>
          <w:rFonts w:cs="Arial"/>
          <w:szCs w:val="22"/>
        </w:rPr>
      </w:pPr>
      <w:r w:rsidRPr="005113BD">
        <w:rPr>
          <w:rFonts w:cs="Arial"/>
          <w:szCs w:val="22"/>
        </w:rPr>
        <w:t>prikaz stanja prostora,</w:t>
      </w:r>
    </w:p>
    <w:p w:rsidR="00610BD6" w:rsidRPr="005113BD" w:rsidRDefault="00610BD6" w:rsidP="00610BD6">
      <w:pPr>
        <w:pStyle w:val="Odstavekseznama"/>
        <w:numPr>
          <w:ilvl w:val="0"/>
          <w:numId w:val="11"/>
        </w:numPr>
        <w:ind w:left="426" w:hanging="426"/>
        <w:jc w:val="both"/>
        <w:rPr>
          <w:rFonts w:ascii="Arial" w:hAnsi="Arial" w:cs="Arial"/>
          <w:sz w:val="22"/>
          <w:szCs w:val="22"/>
        </w:rPr>
      </w:pPr>
      <w:r w:rsidRPr="005113BD">
        <w:rPr>
          <w:rFonts w:ascii="Arial" w:hAnsi="Arial" w:cs="Arial"/>
          <w:sz w:val="22"/>
          <w:szCs w:val="22"/>
        </w:rPr>
        <w:t>strokovne podlage,</w:t>
      </w:r>
    </w:p>
    <w:p w:rsidR="00610BD6" w:rsidRPr="005113BD" w:rsidRDefault="00610BD6" w:rsidP="00610BD6">
      <w:pPr>
        <w:pStyle w:val="Odstavekseznama"/>
        <w:numPr>
          <w:ilvl w:val="0"/>
          <w:numId w:val="11"/>
        </w:numPr>
        <w:ind w:left="426" w:hanging="426"/>
        <w:jc w:val="both"/>
        <w:rPr>
          <w:rFonts w:ascii="Arial" w:hAnsi="Arial" w:cs="Arial"/>
          <w:sz w:val="22"/>
          <w:szCs w:val="22"/>
        </w:rPr>
      </w:pPr>
      <w:r w:rsidRPr="005113BD">
        <w:rPr>
          <w:rFonts w:ascii="Arial" w:hAnsi="Arial" w:cs="Arial"/>
          <w:sz w:val="22"/>
          <w:szCs w:val="22"/>
        </w:rPr>
        <w:t>smernice in mnenja nosilcev urejanja prostora,</w:t>
      </w:r>
    </w:p>
    <w:p w:rsidR="00610BD6" w:rsidRPr="005113BD" w:rsidRDefault="00610BD6" w:rsidP="00610BD6">
      <w:pPr>
        <w:pStyle w:val="Odstavekseznama"/>
        <w:numPr>
          <w:ilvl w:val="0"/>
          <w:numId w:val="11"/>
        </w:numPr>
        <w:ind w:left="426" w:hanging="426"/>
        <w:jc w:val="both"/>
        <w:rPr>
          <w:rFonts w:ascii="Arial" w:hAnsi="Arial" w:cs="Arial"/>
          <w:sz w:val="22"/>
          <w:szCs w:val="22"/>
        </w:rPr>
      </w:pPr>
      <w:r w:rsidRPr="005113BD">
        <w:rPr>
          <w:rFonts w:ascii="Arial" w:hAnsi="Arial" w:cs="Arial"/>
          <w:sz w:val="22"/>
          <w:szCs w:val="22"/>
        </w:rPr>
        <w:t>obrazložitev in utemeljitev OPPN,</w:t>
      </w:r>
    </w:p>
    <w:p w:rsidR="00610BD6" w:rsidRPr="005113BD" w:rsidRDefault="00610BD6" w:rsidP="00610BD6">
      <w:pPr>
        <w:pStyle w:val="Odstavekseznama"/>
        <w:numPr>
          <w:ilvl w:val="0"/>
          <w:numId w:val="11"/>
        </w:numPr>
        <w:ind w:left="426" w:hanging="426"/>
        <w:jc w:val="both"/>
        <w:rPr>
          <w:rFonts w:ascii="Arial" w:hAnsi="Arial" w:cs="Arial"/>
          <w:sz w:val="22"/>
          <w:szCs w:val="22"/>
        </w:rPr>
      </w:pPr>
      <w:r w:rsidRPr="005113BD">
        <w:rPr>
          <w:rFonts w:ascii="Arial" w:hAnsi="Arial" w:cs="Arial"/>
          <w:sz w:val="22"/>
          <w:szCs w:val="22"/>
        </w:rPr>
        <w:t>program opremljanja stavbnih zemljišč,</w:t>
      </w:r>
    </w:p>
    <w:p w:rsidR="00610BD6" w:rsidRPr="005113BD" w:rsidRDefault="00610BD6" w:rsidP="00610BD6">
      <w:pPr>
        <w:pStyle w:val="Odstavekseznama"/>
        <w:numPr>
          <w:ilvl w:val="0"/>
          <w:numId w:val="11"/>
        </w:numPr>
        <w:ind w:left="426" w:hanging="426"/>
        <w:jc w:val="both"/>
        <w:rPr>
          <w:rFonts w:ascii="Arial" w:hAnsi="Arial" w:cs="Arial"/>
          <w:sz w:val="22"/>
          <w:szCs w:val="22"/>
        </w:rPr>
      </w:pPr>
      <w:r w:rsidRPr="005113BD">
        <w:rPr>
          <w:rFonts w:ascii="Arial" w:hAnsi="Arial" w:cs="Arial"/>
          <w:sz w:val="22"/>
          <w:szCs w:val="22"/>
        </w:rPr>
        <w:t>povzetek za javnost.</w:t>
      </w: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t>5. člen</w:t>
      </w:r>
    </w:p>
    <w:p w:rsidR="00610BD6" w:rsidRPr="005113BD" w:rsidRDefault="00610BD6" w:rsidP="00610BD6">
      <w:pPr>
        <w:jc w:val="center"/>
        <w:rPr>
          <w:rFonts w:cs="Arial"/>
          <w:bCs/>
          <w:szCs w:val="22"/>
        </w:rPr>
      </w:pPr>
      <w:r w:rsidRPr="005113BD">
        <w:rPr>
          <w:rFonts w:cs="Arial"/>
          <w:bCs/>
          <w:szCs w:val="22"/>
        </w:rPr>
        <w:t>(izdelovalec OPPN)</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 xml:space="preserve">OPPN je izdelal </w:t>
      </w:r>
      <w:proofErr w:type="spellStart"/>
      <w:r w:rsidRPr="005113BD">
        <w:rPr>
          <w:rFonts w:cs="Arial"/>
          <w:snapToGrid w:val="0"/>
          <w:szCs w:val="22"/>
        </w:rPr>
        <w:t>City</w:t>
      </w:r>
      <w:proofErr w:type="spellEnd"/>
      <w:r w:rsidRPr="005113BD">
        <w:rPr>
          <w:rFonts w:cs="Arial"/>
          <w:snapToGrid w:val="0"/>
          <w:szCs w:val="22"/>
        </w:rPr>
        <w:t xml:space="preserve"> studio d.o.o., Zemljemerska 12, Ljubljana, pod številko projekta CS 1219-16 v maju 2017 in dopolnil v decembru 2017. </w:t>
      </w:r>
    </w:p>
    <w:p w:rsidR="00610BD6" w:rsidRPr="005113BD" w:rsidRDefault="00610BD6" w:rsidP="00610BD6">
      <w:pPr>
        <w:jc w:val="both"/>
        <w:rPr>
          <w:rFonts w:cs="Arial"/>
          <w:snapToGrid w:val="0"/>
          <w:szCs w:val="22"/>
        </w:rPr>
      </w:pPr>
    </w:p>
    <w:p w:rsidR="00610BD6" w:rsidRPr="005113BD" w:rsidRDefault="00610BD6" w:rsidP="00610BD6">
      <w:pPr>
        <w:jc w:val="both"/>
        <w:rPr>
          <w:rFonts w:cs="Arial"/>
          <w:bCs/>
          <w:szCs w:val="22"/>
        </w:rPr>
      </w:pPr>
      <w:r w:rsidRPr="005113BD">
        <w:rPr>
          <w:rFonts w:cs="Arial"/>
          <w:bCs/>
          <w:szCs w:val="22"/>
        </w:rPr>
        <w:t>II. OBMOČJE OPPN</w:t>
      </w:r>
    </w:p>
    <w:p w:rsidR="00610BD6" w:rsidRPr="005113BD" w:rsidRDefault="00610BD6" w:rsidP="00610BD6">
      <w:pPr>
        <w:jc w:val="both"/>
        <w:rPr>
          <w:rFonts w:cs="Arial"/>
          <w:bCs/>
          <w:szCs w:val="22"/>
        </w:rPr>
      </w:pPr>
    </w:p>
    <w:p w:rsidR="00610BD6" w:rsidRPr="005113BD" w:rsidRDefault="00610BD6" w:rsidP="00610BD6">
      <w:pPr>
        <w:jc w:val="center"/>
        <w:rPr>
          <w:rFonts w:cs="Arial"/>
          <w:bCs/>
          <w:szCs w:val="22"/>
        </w:rPr>
      </w:pPr>
      <w:r w:rsidRPr="005113BD">
        <w:rPr>
          <w:rFonts w:cs="Arial"/>
          <w:bCs/>
          <w:szCs w:val="22"/>
        </w:rPr>
        <w:t>6. člen</w:t>
      </w:r>
    </w:p>
    <w:p w:rsidR="00610BD6" w:rsidRPr="005113BD" w:rsidRDefault="00610BD6" w:rsidP="00610BD6">
      <w:pPr>
        <w:jc w:val="center"/>
        <w:rPr>
          <w:rFonts w:cs="Arial"/>
          <w:bCs/>
          <w:szCs w:val="22"/>
        </w:rPr>
      </w:pPr>
      <w:r w:rsidRPr="005113BD">
        <w:rPr>
          <w:rFonts w:cs="Arial"/>
          <w:bCs/>
          <w:szCs w:val="22"/>
        </w:rPr>
        <w:t>(območje OPPN)</w:t>
      </w:r>
    </w:p>
    <w:p w:rsidR="00610BD6" w:rsidRPr="005113BD" w:rsidRDefault="00610BD6" w:rsidP="00610BD6">
      <w:pPr>
        <w:jc w:val="center"/>
        <w:rPr>
          <w:rFonts w:cs="Arial"/>
          <w:b/>
          <w:bCs/>
          <w:szCs w:val="22"/>
        </w:rPr>
      </w:pPr>
    </w:p>
    <w:p w:rsidR="00610BD6" w:rsidRPr="005113BD" w:rsidRDefault="00610BD6" w:rsidP="00610BD6">
      <w:pPr>
        <w:rPr>
          <w:rFonts w:cs="Arial"/>
          <w:szCs w:val="22"/>
        </w:rPr>
      </w:pPr>
      <w:r w:rsidRPr="005113BD">
        <w:rPr>
          <w:rFonts w:cs="Arial"/>
          <w:szCs w:val="22"/>
        </w:rPr>
        <w:t xml:space="preserve">(1) Območje OPPN se nahaja v proizvodno – obrtno – komunalni coni Tojnice. </w:t>
      </w:r>
    </w:p>
    <w:p w:rsidR="00610BD6" w:rsidRPr="005113BD" w:rsidRDefault="00610BD6" w:rsidP="00610BD6">
      <w:pPr>
        <w:rPr>
          <w:rFonts w:cs="Arial"/>
          <w:szCs w:val="22"/>
        </w:rPr>
      </w:pPr>
      <w:r w:rsidRPr="005113BD">
        <w:rPr>
          <w:rFonts w:cs="Arial"/>
          <w:szCs w:val="22"/>
        </w:rPr>
        <w:t xml:space="preserve">(2) Na severozahodni strani meji z avtocesto A1 Ljubljana–Koper, na vzhodni strani s čistilno napravo Vrhnika, na južni strani pa s Potjo na Tojnice. Na severni strani meji na degradirano območje nekdanjega odlagališča Industrije usnja Vrhnika. </w:t>
      </w:r>
    </w:p>
    <w:p w:rsidR="00610BD6" w:rsidRPr="005113BD" w:rsidRDefault="00610BD6" w:rsidP="00610BD6">
      <w:pPr>
        <w:rPr>
          <w:rFonts w:cs="Arial"/>
          <w:szCs w:val="22"/>
        </w:rPr>
      </w:pPr>
      <w:r w:rsidRPr="005113BD">
        <w:rPr>
          <w:rFonts w:cs="Arial"/>
          <w:szCs w:val="22"/>
        </w:rPr>
        <w:t>(3) Območje OPPN obsega zemljišča z naslednjimi parcelnimi številkami:</w:t>
      </w:r>
    </w:p>
    <w:p w:rsidR="00610BD6" w:rsidRPr="005113BD" w:rsidRDefault="00610BD6" w:rsidP="00610BD6">
      <w:pPr>
        <w:rPr>
          <w:rFonts w:cs="Arial"/>
          <w:szCs w:val="22"/>
        </w:rPr>
      </w:pPr>
      <w:r w:rsidRPr="005113BD">
        <w:rPr>
          <w:rFonts w:cs="Arial"/>
          <w:szCs w:val="22"/>
        </w:rPr>
        <w:t>2719/9 (del), 2719/10 (del), 2719/1, 2719/5 (del) in 2740/8 (del), vsa v katastrski občini Vrhnika.</w:t>
      </w:r>
    </w:p>
    <w:p w:rsidR="00610BD6" w:rsidRPr="005113BD" w:rsidRDefault="00610BD6" w:rsidP="00610BD6">
      <w:pPr>
        <w:jc w:val="both"/>
        <w:rPr>
          <w:rFonts w:cs="Arial"/>
          <w:szCs w:val="22"/>
        </w:rPr>
      </w:pPr>
      <w:r w:rsidRPr="005113BD">
        <w:rPr>
          <w:rFonts w:cs="Arial"/>
          <w:szCs w:val="22"/>
        </w:rPr>
        <w:t>(4) Velikost območja OPPN je 41.430 m</w:t>
      </w:r>
      <w:r w:rsidRPr="005113BD">
        <w:rPr>
          <w:rFonts w:cs="Arial"/>
          <w:szCs w:val="22"/>
          <w:vertAlign w:val="superscript"/>
        </w:rPr>
        <w:t>2</w:t>
      </w:r>
      <w:r w:rsidRPr="005113BD">
        <w:rPr>
          <w:rFonts w:cs="Arial"/>
          <w:szCs w:val="22"/>
        </w:rPr>
        <w:t>.</w:t>
      </w:r>
      <w:r w:rsidRPr="005113BD">
        <w:rPr>
          <w:rFonts w:cs="Arial"/>
          <w:szCs w:val="22"/>
        </w:rPr>
        <w:tab/>
      </w:r>
    </w:p>
    <w:p w:rsidR="00610BD6" w:rsidRPr="005113BD" w:rsidRDefault="00610BD6" w:rsidP="00610BD6">
      <w:pPr>
        <w:jc w:val="both"/>
        <w:rPr>
          <w:rFonts w:cs="Arial"/>
          <w:szCs w:val="22"/>
        </w:rPr>
      </w:pPr>
      <w:r w:rsidRPr="005113BD">
        <w:rPr>
          <w:rFonts w:cs="Arial"/>
          <w:szCs w:val="22"/>
        </w:rPr>
        <w:t>(5) Območje OPPN je razdeljeno na štiri prostorske enote:</w:t>
      </w:r>
    </w:p>
    <w:p w:rsidR="00610BD6" w:rsidRPr="005113BD" w:rsidRDefault="00610BD6" w:rsidP="00610BD6">
      <w:pPr>
        <w:tabs>
          <w:tab w:val="left" w:pos="709"/>
        </w:tabs>
        <w:ind w:left="709" w:hanging="709"/>
        <w:rPr>
          <w:rFonts w:cs="Arial"/>
          <w:szCs w:val="22"/>
        </w:rPr>
      </w:pPr>
      <w:r w:rsidRPr="005113BD">
        <w:rPr>
          <w:rFonts w:cs="Arial"/>
          <w:szCs w:val="22"/>
        </w:rPr>
        <w:t xml:space="preserve">P1: </w:t>
      </w:r>
      <w:r w:rsidRPr="005113BD">
        <w:rPr>
          <w:rFonts w:cs="Arial"/>
          <w:szCs w:val="22"/>
        </w:rPr>
        <w:tab/>
        <w:t>površine, namenjene gradnji industrijske hale ob Poti na Tojnice ter izvedbi zunanjih in parkirnih površin;</w:t>
      </w:r>
    </w:p>
    <w:p w:rsidR="00610BD6" w:rsidRPr="005113BD" w:rsidRDefault="00610BD6" w:rsidP="00610BD6">
      <w:pPr>
        <w:tabs>
          <w:tab w:val="left" w:pos="709"/>
        </w:tabs>
        <w:ind w:left="709" w:hanging="709"/>
        <w:rPr>
          <w:rFonts w:cs="Arial"/>
          <w:szCs w:val="22"/>
        </w:rPr>
      </w:pPr>
      <w:r w:rsidRPr="005113BD">
        <w:rPr>
          <w:rFonts w:cs="Arial"/>
          <w:szCs w:val="22"/>
        </w:rPr>
        <w:t>P2:</w:t>
      </w:r>
      <w:r w:rsidRPr="005113BD">
        <w:rPr>
          <w:rFonts w:cs="Arial"/>
          <w:szCs w:val="22"/>
        </w:rPr>
        <w:tab/>
        <w:t>površine, namenjene gradnji petih industrijskih hal vzdolž avtoceste ter izvedbi zunanjih in parkirnih površin;</w:t>
      </w:r>
    </w:p>
    <w:p w:rsidR="00610BD6" w:rsidRPr="005113BD" w:rsidRDefault="00610BD6" w:rsidP="00610BD6">
      <w:pPr>
        <w:tabs>
          <w:tab w:val="left" w:pos="709"/>
        </w:tabs>
        <w:ind w:left="709" w:hanging="709"/>
        <w:rPr>
          <w:rFonts w:cs="Arial"/>
          <w:szCs w:val="22"/>
        </w:rPr>
      </w:pPr>
      <w:r w:rsidRPr="005113BD">
        <w:rPr>
          <w:rFonts w:cs="Arial"/>
          <w:szCs w:val="22"/>
        </w:rPr>
        <w:t>P3</w:t>
      </w:r>
      <w:r w:rsidRPr="005113BD">
        <w:rPr>
          <w:rFonts w:cs="Arial"/>
          <w:szCs w:val="22"/>
        </w:rPr>
        <w:tab/>
        <w:t>površine, namenjene gradnji petih industrijskih hal ob čistilni napravi Vrhnika ter izvedbi zunanjih in parkirnih površin;</w:t>
      </w:r>
    </w:p>
    <w:p w:rsidR="00610BD6" w:rsidRPr="005113BD" w:rsidRDefault="00610BD6" w:rsidP="00610BD6">
      <w:pPr>
        <w:ind w:left="709" w:hanging="709"/>
        <w:rPr>
          <w:rFonts w:cs="Arial"/>
          <w:szCs w:val="22"/>
        </w:rPr>
      </w:pPr>
      <w:r w:rsidRPr="005113BD">
        <w:rPr>
          <w:rFonts w:cs="Arial"/>
          <w:szCs w:val="22"/>
        </w:rPr>
        <w:t>C1:</w:t>
      </w:r>
      <w:r w:rsidRPr="005113BD">
        <w:rPr>
          <w:rFonts w:cs="Arial"/>
          <w:szCs w:val="22"/>
        </w:rPr>
        <w:tab/>
        <w:t>površine, namenjene gradnji dovozne ceste.</w:t>
      </w:r>
    </w:p>
    <w:p w:rsidR="00610BD6" w:rsidRPr="005113BD" w:rsidRDefault="00610BD6" w:rsidP="00610BD6">
      <w:pPr>
        <w:jc w:val="both"/>
        <w:rPr>
          <w:rFonts w:cs="Arial"/>
          <w:szCs w:val="22"/>
        </w:rPr>
      </w:pPr>
      <w:r w:rsidRPr="005113BD">
        <w:rPr>
          <w:rFonts w:cs="Arial"/>
          <w:szCs w:val="22"/>
        </w:rPr>
        <w:t>(6) Meja območja OPPN je analitično prikazana s koordinatami lomnih točk obodne parcelacije po Gauss–</w:t>
      </w:r>
      <w:proofErr w:type="spellStart"/>
      <w:r w:rsidRPr="005113BD">
        <w:rPr>
          <w:rFonts w:cs="Arial"/>
          <w:szCs w:val="22"/>
        </w:rPr>
        <w:t>Kruegerjevem</w:t>
      </w:r>
      <w:proofErr w:type="spellEnd"/>
      <w:r w:rsidRPr="005113BD">
        <w:rPr>
          <w:rFonts w:cs="Arial"/>
          <w:szCs w:val="22"/>
        </w:rPr>
        <w:t xml:space="preserve"> koordinatnem sistemu.</w:t>
      </w:r>
    </w:p>
    <w:p w:rsidR="00610BD6" w:rsidRDefault="00610BD6" w:rsidP="00610BD6">
      <w:pPr>
        <w:tabs>
          <w:tab w:val="left" w:pos="0"/>
        </w:tabs>
        <w:jc w:val="both"/>
        <w:rPr>
          <w:rFonts w:cs="Arial"/>
          <w:bCs/>
          <w:szCs w:val="22"/>
        </w:rPr>
      </w:pPr>
      <w:r w:rsidRPr="005113BD">
        <w:rPr>
          <w:rFonts w:cs="Arial"/>
          <w:szCs w:val="22"/>
        </w:rPr>
        <w:t xml:space="preserve">(7) Meja območja OPPN je razvidna iz grafičnih načrtov št. 3.1 »Katastrski načrt s prikazom območja OPPN« in 3.3 »Načrt obodne parcelacije, parcelacije zemljišč in </w:t>
      </w:r>
      <w:proofErr w:type="spellStart"/>
      <w:r w:rsidRPr="005113BD">
        <w:rPr>
          <w:rFonts w:cs="Arial"/>
          <w:szCs w:val="22"/>
        </w:rPr>
        <w:t>zakoličbe</w:t>
      </w:r>
      <w:proofErr w:type="spellEnd"/>
      <w:r w:rsidRPr="005113BD">
        <w:rPr>
          <w:rFonts w:cs="Arial"/>
          <w:szCs w:val="22"/>
        </w:rPr>
        <w:t xml:space="preserve"> objektov na katastrskem načrtu«.</w:t>
      </w:r>
    </w:p>
    <w:p w:rsidR="00610BD6" w:rsidRPr="005113BD" w:rsidRDefault="00610BD6" w:rsidP="00610BD6">
      <w:pPr>
        <w:tabs>
          <w:tab w:val="left" w:pos="0"/>
        </w:tabs>
        <w:jc w:val="both"/>
        <w:rPr>
          <w:rFonts w:cs="Arial"/>
          <w:bCs/>
          <w:szCs w:val="22"/>
        </w:rPr>
      </w:pPr>
    </w:p>
    <w:p w:rsidR="00610BD6" w:rsidRPr="005113BD" w:rsidRDefault="00610BD6" w:rsidP="00610BD6">
      <w:pPr>
        <w:rPr>
          <w:rFonts w:cs="Arial"/>
          <w:b/>
          <w:bCs/>
          <w:szCs w:val="22"/>
        </w:rPr>
      </w:pPr>
    </w:p>
    <w:p w:rsidR="00610BD6" w:rsidRPr="005113BD" w:rsidRDefault="00610BD6" w:rsidP="00610BD6">
      <w:pPr>
        <w:tabs>
          <w:tab w:val="left" w:pos="284"/>
        </w:tabs>
        <w:ind w:left="284" w:hanging="284"/>
        <w:rPr>
          <w:rFonts w:cs="Arial"/>
          <w:bCs/>
          <w:szCs w:val="22"/>
        </w:rPr>
      </w:pPr>
      <w:r w:rsidRPr="005113BD">
        <w:rPr>
          <w:rFonts w:cs="Arial"/>
          <w:bCs/>
          <w:szCs w:val="22"/>
        </w:rPr>
        <w:lastRenderedPageBreak/>
        <w:t>III. POGOJI ZA URBANISTIČNO, ARHITEKTURNO IN KRAJINSKO OBLIKOVANJE</w:t>
      </w:r>
    </w:p>
    <w:p w:rsidR="00610BD6" w:rsidRPr="005113BD" w:rsidRDefault="00610BD6" w:rsidP="00610BD6">
      <w:pPr>
        <w:jc w:val="center"/>
        <w:rPr>
          <w:rFonts w:cs="Arial"/>
          <w:bCs/>
          <w:szCs w:val="22"/>
        </w:rPr>
      </w:pPr>
    </w:p>
    <w:p w:rsidR="00610BD6" w:rsidRPr="005113BD" w:rsidRDefault="00610BD6" w:rsidP="00610BD6">
      <w:pPr>
        <w:jc w:val="center"/>
        <w:rPr>
          <w:rFonts w:cs="Arial"/>
          <w:bCs/>
          <w:szCs w:val="22"/>
        </w:rPr>
      </w:pPr>
      <w:r w:rsidRPr="005113BD">
        <w:rPr>
          <w:rFonts w:cs="Arial"/>
          <w:bCs/>
          <w:szCs w:val="22"/>
        </w:rPr>
        <w:t>7. člen</w:t>
      </w:r>
    </w:p>
    <w:p w:rsidR="00610BD6" w:rsidRPr="005113BD" w:rsidRDefault="00610BD6" w:rsidP="00610BD6">
      <w:pPr>
        <w:jc w:val="center"/>
        <w:rPr>
          <w:rFonts w:cs="Arial"/>
          <w:bCs/>
          <w:szCs w:val="22"/>
        </w:rPr>
      </w:pPr>
      <w:r w:rsidRPr="005113BD">
        <w:rPr>
          <w:rFonts w:cs="Arial"/>
          <w:bCs/>
          <w:szCs w:val="22"/>
        </w:rPr>
        <w:t>(vplivi in povezave prostorskih ureditev s sosednjimi enotami urejanja prostora)</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(1) Območje OPPN je dostopno preko predvidenega priključka z nove ceste Pot na Tojnice (LZ 466091). Preko lokalne ceste Sinja Gorica–Bevke I (LC 468061) se navezuje na Ljubljansko cesto, preko novo predvidenega mostu čez Ljubljanico in Ceste k opekarni (JP966601) pa na Verd.</w:t>
      </w:r>
    </w:p>
    <w:p w:rsidR="00610BD6" w:rsidRPr="005113BD" w:rsidRDefault="00610BD6" w:rsidP="00610BD6">
      <w:pPr>
        <w:jc w:val="both"/>
        <w:rPr>
          <w:rFonts w:cs="Arial"/>
          <w:szCs w:val="22"/>
        </w:rPr>
      </w:pPr>
      <w:r w:rsidRPr="005113BD">
        <w:rPr>
          <w:rFonts w:cs="Arial"/>
          <w:szCs w:val="22"/>
        </w:rPr>
        <w:t>(2) Po osrednjem delu območja bo urejena nova dovozna cesta.</w:t>
      </w:r>
    </w:p>
    <w:p w:rsidR="00610BD6" w:rsidRPr="005113BD" w:rsidRDefault="00610BD6" w:rsidP="00610BD6">
      <w:pPr>
        <w:jc w:val="both"/>
        <w:rPr>
          <w:rFonts w:cs="Arial"/>
          <w:szCs w:val="22"/>
        </w:rPr>
      </w:pPr>
      <w:r w:rsidRPr="005113BD">
        <w:rPr>
          <w:rFonts w:cs="Arial"/>
          <w:szCs w:val="22"/>
        </w:rPr>
        <w:t>(3) Območje bo s predvideno pozidavo in ureditvami okoljsko in prostorsko sanirano.</w:t>
      </w:r>
    </w:p>
    <w:p w:rsidR="00610BD6" w:rsidRPr="005113BD" w:rsidRDefault="00610BD6" w:rsidP="00610BD6">
      <w:pPr>
        <w:jc w:val="both"/>
        <w:rPr>
          <w:rFonts w:cs="Arial"/>
          <w:szCs w:val="22"/>
        </w:rPr>
      </w:pPr>
      <w:r w:rsidRPr="005113BD">
        <w:rPr>
          <w:rFonts w:cs="Arial"/>
          <w:szCs w:val="22"/>
        </w:rPr>
        <w:t>(4) Ureditve v območju OPPN so zasnovane tako, da omogočajo navezavo predvidenih gradenj na degradirano območje, ki se nahaja na severni strani.</w:t>
      </w:r>
    </w:p>
    <w:p w:rsidR="00610BD6" w:rsidRPr="005113BD" w:rsidRDefault="00610BD6" w:rsidP="00610BD6">
      <w:pPr>
        <w:jc w:val="both"/>
        <w:rPr>
          <w:rFonts w:cs="Arial"/>
          <w:szCs w:val="22"/>
        </w:rPr>
      </w:pPr>
      <w:r w:rsidRPr="005113BD">
        <w:rPr>
          <w:rFonts w:cs="Arial"/>
          <w:szCs w:val="22"/>
        </w:rPr>
        <w:t>(5) Predvideni posegi ne bodo imeli obremenilnih vplivov na obstoječo rabo prostora in ne bodo predstavljali bistvene dodatne obremenitve na že vzpostavljeno prometno in komunalno energetsko infrastrukturo v širšem območju. Predvidena gradnja ne bo vplivala na podobo krajine.</w:t>
      </w:r>
    </w:p>
    <w:p w:rsidR="00610BD6" w:rsidRPr="005113BD" w:rsidRDefault="00610BD6" w:rsidP="00610BD6">
      <w:pPr>
        <w:jc w:val="both"/>
        <w:rPr>
          <w:rFonts w:cs="Arial"/>
          <w:szCs w:val="22"/>
        </w:rPr>
      </w:pPr>
      <w:r w:rsidRPr="005113BD">
        <w:rPr>
          <w:rFonts w:cs="Arial"/>
          <w:szCs w:val="22"/>
        </w:rPr>
        <w:t>(6) Vplivi in povezave s sosednjimi območji so razvidni iz grafičnega načrta št. 2. »Vplivi in povezave s sosednjimi enotami urejanja prostora«.</w:t>
      </w:r>
    </w:p>
    <w:p w:rsidR="00610BD6" w:rsidRPr="005113BD" w:rsidRDefault="00610BD6" w:rsidP="00610BD6">
      <w:pPr>
        <w:jc w:val="both"/>
        <w:rPr>
          <w:rFonts w:cs="Arial"/>
          <w:bCs/>
          <w:szCs w:val="22"/>
        </w:rPr>
      </w:pPr>
    </w:p>
    <w:p w:rsidR="00610BD6" w:rsidRPr="005113BD" w:rsidRDefault="00610BD6" w:rsidP="00610BD6">
      <w:pPr>
        <w:jc w:val="center"/>
        <w:rPr>
          <w:rFonts w:cs="Arial"/>
          <w:bCs/>
          <w:szCs w:val="22"/>
        </w:rPr>
      </w:pPr>
      <w:r w:rsidRPr="005113BD">
        <w:rPr>
          <w:rFonts w:cs="Arial"/>
          <w:bCs/>
          <w:szCs w:val="22"/>
        </w:rPr>
        <w:t>8. člen</w:t>
      </w:r>
    </w:p>
    <w:p w:rsidR="00610BD6" w:rsidRPr="005113BD" w:rsidRDefault="00610BD6" w:rsidP="00610BD6">
      <w:pPr>
        <w:jc w:val="center"/>
        <w:rPr>
          <w:rFonts w:cs="Arial"/>
          <w:bCs/>
          <w:szCs w:val="22"/>
        </w:rPr>
      </w:pPr>
      <w:r w:rsidRPr="005113BD">
        <w:rPr>
          <w:rFonts w:cs="Arial"/>
          <w:bCs/>
          <w:szCs w:val="22"/>
        </w:rPr>
        <w:t>(dopustni posegi na območju OPPN)</w:t>
      </w:r>
    </w:p>
    <w:p w:rsidR="00610BD6" w:rsidRPr="005113BD" w:rsidRDefault="00610BD6" w:rsidP="00610BD6">
      <w:pPr>
        <w:pStyle w:val="Glava"/>
        <w:tabs>
          <w:tab w:val="clear" w:pos="4536"/>
          <w:tab w:val="clear" w:pos="9072"/>
        </w:tabs>
        <w:jc w:val="both"/>
        <w:rPr>
          <w:rFonts w:cs="Arial"/>
          <w:szCs w:val="22"/>
        </w:rPr>
      </w:pPr>
    </w:p>
    <w:p w:rsidR="00610BD6" w:rsidRPr="005113BD" w:rsidRDefault="00610BD6" w:rsidP="00610BD6">
      <w:pPr>
        <w:pStyle w:val="Telobesedila"/>
        <w:jc w:val="both"/>
        <w:rPr>
          <w:rFonts w:cs="Arial"/>
          <w:b w:val="0"/>
          <w:szCs w:val="22"/>
        </w:rPr>
      </w:pPr>
      <w:r w:rsidRPr="005113BD">
        <w:rPr>
          <w:rFonts w:cs="Arial"/>
          <w:b w:val="0"/>
          <w:szCs w:val="22"/>
        </w:rPr>
        <w:t>Skladno z določili tega odloka so na območju OPPN dopustni naslednji posegi:</w:t>
      </w:r>
    </w:p>
    <w:p w:rsidR="00610BD6" w:rsidRPr="005113BD" w:rsidRDefault="00610BD6" w:rsidP="00610BD6">
      <w:pPr>
        <w:pStyle w:val="Odstavekseznama"/>
        <w:widowControl/>
        <w:numPr>
          <w:ilvl w:val="0"/>
          <w:numId w:val="12"/>
        </w:numPr>
        <w:tabs>
          <w:tab w:val="clear" w:pos="757"/>
          <w:tab w:val="num" w:pos="426"/>
        </w:tabs>
        <w:ind w:left="426" w:hanging="284"/>
        <w:jc w:val="both"/>
        <w:rPr>
          <w:rFonts w:ascii="Arial" w:hAnsi="Arial" w:cs="Arial"/>
          <w:sz w:val="22"/>
          <w:szCs w:val="22"/>
        </w:rPr>
      </w:pPr>
      <w:r w:rsidRPr="005113BD">
        <w:rPr>
          <w:rFonts w:ascii="Arial" w:hAnsi="Arial" w:cs="Arial"/>
          <w:sz w:val="22"/>
          <w:szCs w:val="22"/>
        </w:rPr>
        <w:t>sanacija in priprava stavbnega zemljišča;</w:t>
      </w:r>
    </w:p>
    <w:p w:rsidR="00610BD6" w:rsidRPr="005113BD" w:rsidRDefault="00610BD6" w:rsidP="00610BD6">
      <w:pPr>
        <w:pStyle w:val="Odstavekseznama"/>
        <w:widowControl/>
        <w:numPr>
          <w:ilvl w:val="0"/>
          <w:numId w:val="12"/>
        </w:numPr>
        <w:tabs>
          <w:tab w:val="clear" w:pos="757"/>
          <w:tab w:val="num" w:pos="426"/>
        </w:tabs>
        <w:ind w:left="426" w:hanging="284"/>
        <w:jc w:val="both"/>
        <w:rPr>
          <w:rFonts w:ascii="Arial" w:hAnsi="Arial" w:cs="Arial"/>
          <w:sz w:val="22"/>
          <w:szCs w:val="22"/>
        </w:rPr>
      </w:pPr>
      <w:r w:rsidRPr="005113BD">
        <w:rPr>
          <w:rFonts w:ascii="Arial" w:hAnsi="Arial" w:cs="Arial"/>
          <w:sz w:val="22"/>
          <w:szCs w:val="22"/>
        </w:rPr>
        <w:t>gradnja novih objektov;</w:t>
      </w:r>
    </w:p>
    <w:p w:rsidR="00610BD6" w:rsidRPr="005113BD" w:rsidRDefault="00610BD6" w:rsidP="00610BD6">
      <w:pPr>
        <w:pStyle w:val="Odstavekseznama"/>
        <w:widowControl/>
        <w:numPr>
          <w:ilvl w:val="0"/>
          <w:numId w:val="12"/>
        </w:numPr>
        <w:tabs>
          <w:tab w:val="clear" w:pos="757"/>
          <w:tab w:val="num" w:pos="426"/>
        </w:tabs>
        <w:ind w:left="426" w:hanging="284"/>
        <w:jc w:val="both"/>
        <w:rPr>
          <w:rFonts w:ascii="Arial" w:hAnsi="Arial" w:cs="Arial"/>
          <w:sz w:val="22"/>
          <w:szCs w:val="22"/>
        </w:rPr>
      </w:pPr>
      <w:r w:rsidRPr="005113BD">
        <w:rPr>
          <w:rFonts w:ascii="Arial" w:hAnsi="Arial" w:cs="Arial"/>
          <w:sz w:val="22"/>
          <w:szCs w:val="22"/>
        </w:rPr>
        <w:t>gradnja prometne, komunalne, energetske in druge gospodarske infrastrukture;</w:t>
      </w:r>
    </w:p>
    <w:p w:rsidR="00610BD6" w:rsidRPr="005113BD" w:rsidRDefault="00610BD6" w:rsidP="00610BD6">
      <w:pPr>
        <w:pStyle w:val="Odstavekseznama"/>
        <w:widowControl/>
        <w:numPr>
          <w:ilvl w:val="0"/>
          <w:numId w:val="12"/>
        </w:numPr>
        <w:tabs>
          <w:tab w:val="clear" w:pos="757"/>
          <w:tab w:val="num" w:pos="426"/>
        </w:tabs>
        <w:ind w:left="426" w:hanging="284"/>
        <w:jc w:val="both"/>
        <w:rPr>
          <w:rFonts w:ascii="Arial" w:hAnsi="Arial" w:cs="Arial"/>
          <w:sz w:val="22"/>
          <w:szCs w:val="22"/>
        </w:rPr>
      </w:pPr>
      <w:r w:rsidRPr="005113BD">
        <w:rPr>
          <w:rFonts w:ascii="Arial" w:hAnsi="Arial" w:cs="Arial"/>
          <w:sz w:val="22"/>
          <w:szCs w:val="22"/>
        </w:rPr>
        <w:t>urejanje zelenih in utrjenih zunanjih površin;</w:t>
      </w:r>
    </w:p>
    <w:p w:rsidR="00610BD6" w:rsidRPr="005113BD" w:rsidRDefault="00610BD6" w:rsidP="00610BD6">
      <w:pPr>
        <w:pStyle w:val="Odstavekseznama"/>
        <w:widowControl/>
        <w:numPr>
          <w:ilvl w:val="0"/>
          <w:numId w:val="12"/>
        </w:numPr>
        <w:tabs>
          <w:tab w:val="clear" w:pos="757"/>
          <w:tab w:val="num" w:pos="426"/>
        </w:tabs>
        <w:ind w:left="426" w:hanging="284"/>
        <w:jc w:val="both"/>
        <w:rPr>
          <w:rFonts w:ascii="Arial" w:hAnsi="Arial" w:cs="Arial"/>
          <w:sz w:val="22"/>
          <w:szCs w:val="22"/>
        </w:rPr>
      </w:pPr>
      <w:r w:rsidRPr="005113BD">
        <w:rPr>
          <w:rFonts w:ascii="Arial" w:hAnsi="Arial" w:cs="Arial"/>
          <w:sz w:val="22"/>
          <w:szCs w:val="22"/>
        </w:rPr>
        <w:t>gradnja nezahtevnih in enostavnih objektov iz 11. člena tega odloka.</w:t>
      </w:r>
    </w:p>
    <w:p w:rsidR="00610BD6" w:rsidRPr="005113BD" w:rsidRDefault="00610BD6" w:rsidP="00610BD6">
      <w:pPr>
        <w:ind w:left="312" w:hanging="284"/>
        <w:jc w:val="both"/>
        <w:rPr>
          <w:rFonts w:cs="Arial"/>
          <w:szCs w:val="22"/>
        </w:rPr>
      </w:pPr>
    </w:p>
    <w:p w:rsidR="00610BD6" w:rsidRPr="005113BD" w:rsidRDefault="00610BD6" w:rsidP="00610BD6">
      <w:pPr>
        <w:jc w:val="center"/>
        <w:rPr>
          <w:rFonts w:cs="Arial"/>
          <w:bCs/>
          <w:szCs w:val="22"/>
        </w:rPr>
      </w:pPr>
      <w:r w:rsidRPr="005113BD">
        <w:rPr>
          <w:rFonts w:cs="Arial"/>
          <w:bCs/>
          <w:szCs w:val="22"/>
        </w:rPr>
        <w:t>9. člen</w:t>
      </w:r>
    </w:p>
    <w:p w:rsidR="00610BD6" w:rsidRPr="005113BD" w:rsidRDefault="00610BD6" w:rsidP="00610BD6">
      <w:pPr>
        <w:jc w:val="center"/>
        <w:rPr>
          <w:rFonts w:cs="Arial"/>
          <w:bCs/>
          <w:szCs w:val="22"/>
        </w:rPr>
      </w:pPr>
      <w:r w:rsidRPr="005113BD">
        <w:rPr>
          <w:rFonts w:cs="Arial"/>
          <w:bCs/>
          <w:szCs w:val="22"/>
        </w:rPr>
        <w:t>(namembnost objektov)</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 xml:space="preserve">(1) Prostorske enote P1, P2 in P3: </w:t>
      </w:r>
    </w:p>
    <w:p w:rsidR="00610BD6" w:rsidRPr="005113BD" w:rsidRDefault="00610BD6" w:rsidP="00610BD6">
      <w:pPr>
        <w:numPr>
          <w:ilvl w:val="0"/>
          <w:numId w:val="13"/>
        </w:numPr>
        <w:ind w:left="426" w:hanging="284"/>
        <w:jc w:val="both"/>
        <w:rPr>
          <w:rFonts w:cs="Arial"/>
          <w:szCs w:val="22"/>
        </w:rPr>
      </w:pPr>
      <w:r w:rsidRPr="005113BD">
        <w:rPr>
          <w:rFonts w:cs="Arial"/>
          <w:szCs w:val="22"/>
        </w:rPr>
        <w:t>CC-SI-12112 Gostilne, restavracije in točilnice, a le za potrebe območja;</w:t>
      </w:r>
    </w:p>
    <w:p w:rsidR="00610BD6" w:rsidRPr="005113BD" w:rsidRDefault="00610BD6" w:rsidP="00610BD6">
      <w:pPr>
        <w:numPr>
          <w:ilvl w:val="0"/>
          <w:numId w:val="13"/>
        </w:numPr>
        <w:ind w:left="426" w:hanging="284"/>
        <w:jc w:val="both"/>
        <w:rPr>
          <w:rFonts w:cs="Arial"/>
          <w:szCs w:val="22"/>
        </w:rPr>
      </w:pPr>
      <w:r w:rsidRPr="005113BD">
        <w:rPr>
          <w:rFonts w:cs="Arial"/>
          <w:szCs w:val="22"/>
        </w:rPr>
        <w:t>CC-SI-12202 Stavbe bank, pošt, zavarovalnic, a le za potrebe območja;</w:t>
      </w:r>
    </w:p>
    <w:p w:rsidR="00610BD6" w:rsidRPr="005113BD" w:rsidRDefault="00610BD6" w:rsidP="00610BD6">
      <w:pPr>
        <w:numPr>
          <w:ilvl w:val="0"/>
          <w:numId w:val="13"/>
        </w:numPr>
        <w:ind w:left="426" w:hanging="284"/>
        <w:jc w:val="both"/>
        <w:rPr>
          <w:rFonts w:cs="Arial"/>
          <w:szCs w:val="22"/>
        </w:rPr>
      </w:pPr>
      <w:r w:rsidRPr="005113BD">
        <w:rPr>
          <w:rFonts w:cs="Arial"/>
          <w:szCs w:val="22"/>
        </w:rPr>
        <w:t>CC-SI-12203 Druge poslovne stavbe, a le za potrebe osnovne dejavnosti;</w:t>
      </w:r>
    </w:p>
    <w:p w:rsidR="00610BD6" w:rsidRPr="005113BD" w:rsidRDefault="00610BD6" w:rsidP="00610BD6">
      <w:pPr>
        <w:numPr>
          <w:ilvl w:val="0"/>
          <w:numId w:val="13"/>
        </w:numPr>
        <w:ind w:left="426" w:hanging="284"/>
        <w:jc w:val="both"/>
        <w:rPr>
          <w:rFonts w:cs="Arial"/>
          <w:szCs w:val="22"/>
        </w:rPr>
      </w:pPr>
      <w:r w:rsidRPr="005113BD">
        <w:rPr>
          <w:rFonts w:cs="Arial"/>
          <w:szCs w:val="22"/>
        </w:rPr>
        <w:t>CC-SI-12304 Stavbe za storitvene dejavnosti, a le za potrebe območja;</w:t>
      </w:r>
    </w:p>
    <w:p w:rsidR="00610BD6" w:rsidRPr="005113BD" w:rsidRDefault="00610BD6" w:rsidP="00610BD6">
      <w:pPr>
        <w:numPr>
          <w:ilvl w:val="0"/>
          <w:numId w:val="13"/>
        </w:numPr>
        <w:ind w:left="426" w:hanging="284"/>
        <w:jc w:val="both"/>
        <w:rPr>
          <w:rFonts w:cs="Arial"/>
          <w:szCs w:val="22"/>
        </w:rPr>
      </w:pPr>
      <w:r w:rsidRPr="005113BD">
        <w:rPr>
          <w:rFonts w:cs="Arial"/>
          <w:szCs w:val="22"/>
        </w:rPr>
        <w:t>CC-SI-12510 Industrijske stavbe;</w:t>
      </w:r>
    </w:p>
    <w:p w:rsidR="00610BD6" w:rsidRPr="005113BD" w:rsidRDefault="00610BD6" w:rsidP="00610BD6">
      <w:pPr>
        <w:numPr>
          <w:ilvl w:val="0"/>
          <w:numId w:val="13"/>
        </w:numPr>
        <w:ind w:left="426" w:hanging="284"/>
        <w:jc w:val="both"/>
        <w:rPr>
          <w:rFonts w:cs="Arial"/>
          <w:szCs w:val="22"/>
        </w:rPr>
      </w:pPr>
      <w:r w:rsidRPr="005113BD">
        <w:rPr>
          <w:rFonts w:cs="Arial"/>
          <w:szCs w:val="22"/>
        </w:rPr>
        <w:t>CC-SI-12520 Rezervoarji, silosi in skladišča, od tega le skladišča, razstavni in prodajni prostori;</w:t>
      </w:r>
    </w:p>
    <w:p w:rsidR="00610BD6" w:rsidRPr="005113BD" w:rsidRDefault="00610BD6" w:rsidP="00610BD6">
      <w:pPr>
        <w:numPr>
          <w:ilvl w:val="0"/>
          <w:numId w:val="13"/>
        </w:numPr>
        <w:ind w:left="426" w:hanging="284"/>
        <w:jc w:val="both"/>
        <w:rPr>
          <w:rFonts w:cs="Arial"/>
          <w:szCs w:val="22"/>
        </w:rPr>
      </w:pPr>
      <w:r w:rsidRPr="005113BD">
        <w:rPr>
          <w:rFonts w:cs="Arial"/>
          <w:szCs w:val="22"/>
        </w:rPr>
        <w:t>CC-SI-21110 Avtoceste, hitre ceste, glavne ceste in regionalne ceste: samo parkirišča za vozila in tovorna vozila, za priklopnike teh motornih vozil, za avtobuse in za dostavna vozila;</w:t>
      </w:r>
    </w:p>
    <w:p w:rsidR="00610BD6" w:rsidRPr="005113BD" w:rsidRDefault="00610BD6" w:rsidP="00610BD6">
      <w:pPr>
        <w:numPr>
          <w:ilvl w:val="0"/>
          <w:numId w:val="13"/>
        </w:numPr>
        <w:ind w:left="426" w:hanging="284"/>
        <w:jc w:val="both"/>
        <w:rPr>
          <w:rFonts w:cs="Arial"/>
          <w:szCs w:val="22"/>
        </w:rPr>
      </w:pPr>
      <w:r w:rsidRPr="005113BD">
        <w:rPr>
          <w:rFonts w:cs="Arial"/>
          <w:szCs w:val="22"/>
        </w:rPr>
        <w:t>Solarni sistemi,</w:t>
      </w:r>
    </w:p>
    <w:p w:rsidR="00610BD6" w:rsidRPr="005113BD" w:rsidRDefault="00610BD6" w:rsidP="00610BD6">
      <w:pPr>
        <w:numPr>
          <w:ilvl w:val="0"/>
          <w:numId w:val="13"/>
        </w:numPr>
        <w:ind w:left="426" w:hanging="284"/>
        <w:jc w:val="both"/>
        <w:rPr>
          <w:rFonts w:cs="Arial"/>
          <w:szCs w:val="22"/>
        </w:rPr>
      </w:pPr>
      <w:r w:rsidRPr="005113BD">
        <w:rPr>
          <w:rFonts w:cs="Arial"/>
          <w:szCs w:val="22"/>
        </w:rPr>
        <w:t>Oskrbovalna mesta za vozila na alternativni pogon.</w:t>
      </w:r>
    </w:p>
    <w:p w:rsidR="00610BD6" w:rsidRPr="005113BD" w:rsidRDefault="00610BD6" w:rsidP="00610BD6">
      <w:pPr>
        <w:jc w:val="both"/>
        <w:rPr>
          <w:rFonts w:cs="Arial"/>
          <w:szCs w:val="22"/>
        </w:rPr>
      </w:pPr>
      <w:r w:rsidRPr="005113BD">
        <w:rPr>
          <w:rFonts w:cs="Arial"/>
          <w:szCs w:val="22"/>
        </w:rPr>
        <w:t xml:space="preserve">(2) Prepovedana je predelava ter skladiščenje vseh vrst odpadkov ter skladiščenje in predelava okolju nevarnih snovi. </w:t>
      </w:r>
    </w:p>
    <w:p w:rsidR="00610BD6" w:rsidRPr="005113BD" w:rsidRDefault="00610BD6" w:rsidP="00610BD6">
      <w:pPr>
        <w:jc w:val="both"/>
        <w:rPr>
          <w:rFonts w:cs="Arial"/>
          <w:szCs w:val="22"/>
        </w:rPr>
      </w:pPr>
      <w:r w:rsidRPr="005113BD">
        <w:rPr>
          <w:rFonts w:cs="Arial"/>
          <w:szCs w:val="22"/>
        </w:rPr>
        <w:t>(3) Prepovedane so vse dejavnosti, za katere je po veljavnih zakonih in podzakonskih aktih potrebno pridobiti okoljevarstveno dovoljenje ali okoljevarstveno soglasje in tudi vse dejavnosti, ki potencialno lahko obremenjujejo okolico s prekomernim hrupom, smradom in drugimi izpusti in predstavljajo nevarnost za onesnaženje v primeru nesreče.</w:t>
      </w:r>
    </w:p>
    <w:p w:rsidR="00610BD6" w:rsidRPr="005113BD" w:rsidRDefault="00610BD6" w:rsidP="00610BD6">
      <w:pPr>
        <w:jc w:val="both"/>
        <w:rPr>
          <w:rFonts w:cs="Arial"/>
          <w:szCs w:val="22"/>
        </w:rPr>
      </w:pPr>
      <w:r w:rsidRPr="005113BD">
        <w:rPr>
          <w:rFonts w:cs="Arial"/>
          <w:szCs w:val="22"/>
        </w:rPr>
        <w:t>(4) Logistične dejavnosti so dopustne le po izvedbi povezovalne ceste Bajerji Tojnice z mostom preko Ljubljanice in po izvedbi avtocestnega priključka za Borovnico.</w:t>
      </w: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lastRenderedPageBreak/>
        <w:t>10. člen</w:t>
      </w:r>
    </w:p>
    <w:p w:rsidR="00610BD6" w:rsidRPr="005113BD" w:rsidRDefault="00610BD6" w:rsidP="00610BD6">
      <w:pPr>
        <w:jc w:val="center"/>
        <w:rPr>
          <w:rFonts w:cs="Arial"/>
          <w:szCs w:val="22"/>
        </w:rPr>
      </w:pPr>
      <w:r w:rsidRPr="005113BD">
        <w:rPr>
          <w:rFonts w:cs="Arial"/>
          <w:szCs w:val="22"/>
        </w:rPr>
        <w:t>(zazidalna zasnova in zasnova zunanje ureditve)</w:t>
      </w:r>
    </w:p>
    <w:p w:rsidR="00610BD6" w:rsidRPr="005113BD" w:rsidRDefault="00610BD6" w:rsidP="00610BD6">
      <w:pPr>
        <w:jc w:val="both"/>
        <w:rPr>
          <w:rFonts w:cs="Arial"/>
          <w:b/>
          <w:szCs w:val="22"/>
        </w:rPr>
      </w:pPr>
    </w:p>
    <w:p w:rsidR="00610BD6" w:rsidRPr="005113BD" w:rsidRDefault="00610BD6" w:rsidP="00610BD6">
      <w:pPr>
        <w:jc w:val="both"/>
        <w:rPr>
          <w:rFonts w:cs="Arial"/>
          <w:b/>
          <w:szCs w:val="22"/>
        </w:rPr>
      </w:pPr>
      <w:r w:rsidRPr="005113BD">
        <w:rPr>
          <w:rFonts w:cs="Arial"/>
          <w:b/>
          <w:szCs w:val="22"/>
        </w:rPr>
        <w:t>Prostorska enota P1:</w:t>
      </w:r>
    </w:p>
    <w:p w:rsidR="00610BD6" w:rsidRPr="005113BD" w:rsidRDefault="00610BD6" w:rsidP="00610BD6">
      <w:pPr>
        <w:jc w:val="both"/>
        <w:rPr>
          <w:rFonts w:cs="Arial"/>
          <w:szCs w:val="22"/>
        </w:rPr>
      </w:pPr>
      <w:r w:rsidRPr="005113BD">
        <w:rPr>
          <w:rFonts w:cs="Arial"/>
          <w:szCs w:val="22"/>
        </w:rPr>
        <w:t xml:space="preserve">(1) V prostorski enoti P1 je predvidena gradnja novega objekta – industrijske hale (objekt 1), transformatorske postaje (objekt 13) ter ureditev pripadajočih prometnih in zelenih površin (dvorišča, parkirišča za tovorna in osebna vozila, zelenic). </w:t>
      </w:r>
    </w:p>
    <w:p w:rsidR="00610BD6" w:rsidRPr="005113BD" w:rsidRDefault="00610BD6" w:rsidP="00610BD6">
      <w:pPr>
        <w:jc w:val="both"/>
        <w:rPr>
          <w:rFonts w:cs="Arial"/>
          <w:szCs w:val="22"/>
        </w:rPr>
      </w:pPr>
      <w:r w:rsidRPr="005113BD">
        <w:rPr>
          <w:rFonts w:cs="Arial"/>
          <w:szCs w:val="22"/>
        </w:rPr>
        <w:t>(2) Parkirišča za tovorna vozila bodo urejena vzdolž avtoceste, parkirišča za osebna vozila pa vzdolž nove Poti na Tojnice.</w:t>
      </w:r>
    </w:p>
    <w:p w:rsidR="00610BD6" w:rsidRPr="005113BD" w:rsidRDefault="00610BD6" w:rsidP="00610BD6">
      <w:pPr>
        <w:jc w:val="both"/>
        <w:rPr>
          <w:rFonts w:cs="Arial"/>
          <w:szCs w:val="22"/>
        </w:rPr>
      </w:pPr>
      <w:r w:rsidRPr="005113BD">
        <w:rPr>
          <w:rFonts w:cs="Arial"/>
          <w:szCs w:val="22"/>
        </w:rPr>
        <w:t>(3) Dopustna je postavitev ograj.</w:t>
      </w:r>
    </w:p>
    <w:p w:rsidR="00610BD6" w:rsidRPr="005113BD" w:rsidRDefault="00610BD6" w:rsidP="00610BD6">
      <w:pPr>
        <w:jc w:val="both"/>
        <w:rPr>
          <w:rFonts w:cs="Arial"/>
          <w:szCs w:val="22"/>
        </w:rPr>
      </w:pPr>
    </w:p>
    <w:p w:rsidR="00610BD6" w:rsidRPr="005113BD" w:rsidRDefault="00610BD6" w:rsidP="00610BD6">
      <w:pPr>
        <w:jc w:val="both"/>
        <w:rPr>
          <w:rFonts w:cs="Arial"/>
          <w:b/>
          <w:szCs w:val="22"/>
        </w:rPr>
      </w:pPr>
      <w:r w:rsidRPr="005113BD">
        <w:rPr>
          <w:rFonts w:cs="Arial"/>
          <w:b/>
          <w:szCs w:val="22"/>
        </w:rPr>
        <w:t>Prostorska enota P2:</w:t>
      </w:r>
    </w:p>
    <w:p w:rsidR="00610BD6" w:rsidRPr="005113BD" w:rsidRDefault="00610BD6" w:rsidP="00610BD6">
      <w:pPr>
        <w:jc w:val="both"/>
        <w:rPr>
          <w:rFonts w:cs="Arial"/>
          <w:szCs w:val="22"/>
        </w:rPr>
      </w:pPr>
      <w:r w:rsidRPr="005113BD">
        <w:rPr>
          <w:rFonts w:cs="Arial"/>
          <w:szCs w:val="22"/>
        </w:rPr>
        <w:t xml:space="preserve">(4) V prostorski enoti P2 je predvidena gradnja petih novih objektov – industrijskih hal (objekt 2, objekt 3a-3b, objekt 4a-4b, objekt 5 in objekt 6a-6b), transformatorske postaje (objekt 12) ter ureditev pripadajočih prometnih in zelenih površin (dvorišča, parkirišč in zelenic). </w:t>
      </w:r>
    </w:p>
    <w:p w:rsidR="00610BD6" w:rsidRPr="005113BD" w:rsidRDefault="00610BD6" w:rsidP="00610BD6">
      <w:pPr>
        <w:jc w:val="both"/>
        <w:rPr>
          <w:rFonts w:cs="Arial"/>
          <w:szCs w:val="22"/>
        </w:rPr>
      </w:pPr>
      <w:r w:rsidRPr="005113BD">
        <w:rPr>
          <w:rFonts w:cs="Arial"/>
          <w:szCs w:val="22"/>
        </w:rPr>
        <w:t>(5) V 1. in 2. nadstropju je dopustna izvedba povezave med objektoma 2 in 3a ter med objektoma 5 in 6a, s tem, da mora biti minimalna višina prehoda (prosti profil) 4,70 m.</w:t>
      </w:r>
    </w:p>
    <w:p w:rsidR="00610BD6" w:rsidRPr="005113BD" w:rsidRDefault="00610BD6" w:rsidP="00610BD6">
      <w:pPr>
        <w:jc w:val="both"/>
        <w:rPr>
          <w:rFonts w:cs="Arial"/>
          <w:szCs w:val="22"/>
        </w:rPr>
      </w:pPr>
      <w:r w:rsidRPr="005113BD">
        <w:rPr>
          <w:rFonts w:cs="Arial"/>
          <w:szCs w:val="22"/>
        </w:rPr>
        <w:t>(6) Parkirišča bodo urejena vzdolž avtoceste.</w:t>
      </w:r>
    </w:p>
    <w:p w:rsidR="00610BD6" w:rsidRPr="005113BD" w:rsidRDefault="00610BD6" w:rsidP="00610BD6">
      <w:pPr>
        <w:jc w:val="both"/>
        <w:rPr>
          <w:rFonts w:cs="Arial"/>
          <w:szCs w:val="22"/>
        </w:rPr>
      </w:pPr>
      <w:r w:rsidRPr="005113BD">
        <w:rPr>
          <w:rFonts w:cs="Arial"/>
          <w:szCs w:val="22"/>
        </w:rPr>
        <w:t>(7) Dopustna je postavitev ograj.</w:t>
      </w:r>
    </w:p>
    <w:p w:rsidR="00610BD6" w:rsidRPr="005113BD" w:rsidRDefault="00610BD6" w:rsidP="00610BD6">
      <w:pPr>
        <w:jc w:val="both"/>
        <w:rPr>
          <w:rFonts w:cs="Arial"/>
          <w:szCs w:val="22"/>
        </w:rPr>
      </w:pPr>
    </w:p>
    <w:p w:rsidR="00610BD6" w:rsidRPr="005113BD" w:rsidRDefault="00610BD6" w:rsidP="00610BD6">
      <w:pPr>
        <w:jc w:val="both"/>
        <w:rPr>
          <w:rFonts w:cs="Arial"/>
          <w:b/>
          <w:szCs w:val="22"/>
        </w:rPr>
      </w:pPr>
      <w:r w:rsidRPr="005113BD">
        <w:rPr>
          <w:rFonts w:cs="Arial"/>
          <w:b/>
          <w:szCs w:val="22"/>
        </w:rPr>
        <w:t>Prostorska enota P3:</w:t>
      </w:r>
    </w:p>
    <w:p w:rsidR="00610BD6" w:rsidRPr="005113BD" w:rsidRDefault="00610BD6" w:rsidP="00610BD6">
      <w:pPr>
        <w:jc w:val="both"/>
        <w:rPr>
          <w:rFonts w:cs="Arial"/>
          <w:szCs w:val="22"/>
        </w:rPr>
      </w:pPr>
      <w:r w:rsidRPr="005113BD">
        <w:rPr>
          <w:rFonts w:cs="Arial"/>
          <w:szCs w:val="22"/>
        </w:rPr>
        <w:t>(8) V prostorski enoti P3 je predvidena gradnja petih novih objektov – industrijskih hal (objekt 7a-7b, objekt 8a-8b, objekt 9, objekt 10a-10b in objekt 11a-11b-11c) ter ureditev pripadajočih prometnih in zelenih površin (dvorišča, parkirišč in zelenic).</w:t>
      </w:r>
    </w:p>
    <w:p w:rsidR="00610BD6" w:rsidRPr="005113BD" w:rsidRDefault="00610BD6" w:rsidP="00610BD6">
      <w:pPr>
        <w:jc w:val="both"/>
        <w:rPr>
          <w:rFonts w:cs="Arial"/>
          <w:szCs w:val="22"/>
        </w:rPr>
      </w:pPr>
      <w:r w:rsidRPr="005113BD">
        <w:rPr>
          <w:rFonts w:cs="Arial"/>
          <w:szCs w:val="22"/>
        </w:rPr>
        <w:t>(9) Parkirišča bodo urejena vzdolž predvidenih objektov.</w:t>
      </w:r>
    </w:p>
    <w:p w:rsidR="00610BD6" w:rsidRPr="005113BD" w:rsidRDefault="00610BD6" w:rsidP="00610BD6">
      <w:pPr>
        <w:jc w:val="both"/>
        <w:rPr>
          <w:rFonts w:cs="Arial"/>
          <w:szCs w:val="22"/>
        </w:rPr>
      </w:pPr>
      <w:r w:rsidRPr="005113BD">
        <w:rPr>
          <w:rFonts w:cs="Arial"/>
          <w:szCs w:val="22"/>
        </w:rPr>
        <w:t>(10) Dopustna je postavitev ograj.</w:t>
      </w:r>
    </w:p>
    <w:p w:rsidR="00610BD6" w:rsidRPr="005113BD" w:rsidRDefault="00610BD6" w:rsidP="00610BD6">
      <w:pPr>
        <w:jc w:val="both"/>
        <w:rPr>
          <w:rFonts w:cs="Arial"/>
          <w:szCs w:val="22"/>
        </w:rPr>
      </w:pPr>
    </w:p>
    <w:p w:rsidR="00610BD6" w:rsidRPr="005113BD" w:rsidRDefault="00610BD6" w:rsidP="00610BD6">
      <w:pPr>
        <w:jc w:val="both"/>
        <w:rPr>
          <w:rFonts w:cs="Arial"/>
          <w:b/>
          <w:szCs w:val="22"/>
        </w:rPr>
      </w:pPr>
      <w:r w:rsidRPr="005113BD">
        <w:rPr>
          <w:rFonts w:cs="Arial"/>
          <w:b/>
          <w:szCs w:val="22"/>
        </w:rPr>
        <w:t>Prostorska enota C1:</w:t>
      </w:r>
    </w:p>
    <w:p w:rsidR="00610BD6" w:rsidRPr="005113BD" w:rsidRDefault="00610BD6" w:rsidP="00610BD6">
      <w:pPr>
        <w:jc w:val="both"/>
        <w:rPr>
          <w:rFonts w:cs="Arial"/>
          <w:szCs w:val="22"/>
        </w:rPr>
      </w:pPr>
      <w:r w:rsidRPr="005113BD">
        <w:rPr>
          <w:rFonts w:cs="Arial"/>
          <w:szCs w:val="22"/>
        </w:rPr>
        <w:t>(11) V prostorski enoti C1 je predvidena izgradnja dovozne ceste, ki se bo preko predvidenega priključka navezovala na novo cesto Pot na Tojnice (LZ 466091).</w:t>
      </w:r>
    </w:p>
    <w:p w:rsidR="00610BD6" w:rsidRPr="005113BD" w:rsidRDefault="00610BD6" w:rsidP="00610BD6">
      <w:pPr>
        <w:jc w:val="both"/>
        <w:rPr>
          <w:rFonts w:cs="Arial"/>
          <w:szCs w:val="22"/>
        </w:rPr>
      </w:pPr>
      <w:r w:rsidRPr="005113BD">
        <w:rPr>
          <w:rFonts w:cs="Arial"/>
          <w:szCs w:val="22"/>
        </w:rPr>
        <w:t>(12) Zazidalna zasnova in zasnova zunanje ureditve sta določeni v grafičnih načrtih št. 4.1. »Ureditvena situacija – nivo pritličja« in 4.2. »Ureditvena situacija – strehe in prerezi«.</w:t>
      </w: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t>11. člen</w:t>
      </w:r>
    </w:p>
    <w:p w:rsidR="00610BD6" w:rsidRPr="005113BD" w:rsidRDefault="00610BD6" w:rsidP="00610BD6">
      <w:pPr>
        <w:jc w:val="center"/>
        <w:rPr>
          <w:rFonts w:cs="Arial"/>
          <w:bCs/>
          <w:szCs w:val="22"/>
        </w:rPr>
      </w:pPr>
      <w:r w:rsidRPr="005113BD">
        <w:rPr>
          <w:rFonts w:cs="Arial"/>
          <w:bCs/>
          <w:szCs w:val="22"/>
        </w:rPr>
        <w:t>(pogoji za gradnjo nezahtevnih in enostavnih objektov)</w:t>
      </w:r>
    </w:p>
    <w:p w:rsidR="00610BD6" w:rsidRPr="005113BD" w:rsidRDefault="00610BD6" w:rsidP="00610BD6">
      <w:pPr>
        <w:jc w:val="both"/>
        <w:rPr>
          <w:rFonts w:cs="Arial"/>
          <w:szCs w:val="22"/>
        </w:rPr>
      </w:pPr>
    </w:p>
    <w:p w:rsidR="00610BD6" w:rsidRPr="005113BD" w:rsidRDefault="00610BD6" w:rsidP="00610BD6">
      <w:pPr>
        <w:tabs>
          <w:tab w:val="left" w:pos="7920"/>
        </w:tabs>
        <w:jc w:val="both"/>
        <w:rPr>
          <w:rFonts w:cs="Arial"/>
          <w:szCs w:val="22"/>
        </w:rPr>
      </w:pPr>
      <w:r w:rsidRPr="005113BD">
        <w:rPr>
          <w:rFonts w:cs="Arial"/>
          <w:szCs w:val="22"/>
        </w:rPr>
        <w:t xml:space="preserve">(1) V območju OPPN je skladno s prostorskimi možnostmi dopustna gradnja nezahtevnih in enostavnih objektov v skladu z veljavno zakonodajo in podzakonskimi akti. </w:t>
      </w:r>
    </w:p>
    <w:p w:rsidR="00610BD6" w:rsidRPr="005113BD" w:rsidRDefault="00610BD6" w:rsidP="00610BD6">
      <w:pPr>
        <w:rPr>
          <w:rFonts w:cs="Arial"/>
          <w:szCs w:val="22"/>
        </w:rPr>
      </w:pPr>
      <w:r w:rsidRPr="005113BD">
        <w:rPr>
          <w:rFonts w:cs="Arial"/>
          <w:szCs w:val="22"/>
        </w:rPr>
        <w:t>(2) Dopustna je namestitev solarnih sistemov (npr. sončnih zbiralnikov ali sončnih celic) na strehe (v ravnini poševne strehe) in na fasade objektov.</w:t>
      </w:r>
    </w:p>
    <w:p w:rsidR="00610BD6" w:rsidRPr="005113BD" w:rsidRDefault="00610BD6" w:rsidP="00610BD6">
      <w:pPr>
        <w:autoSpaceDE w:val="0"/>
        <w:autoSpaceDN w:val="0"/>
        <w:adjustRightInd w:val="0"/>
        <w:jc w:val="both"/>
        <w:rPr>
          <w:rFonts w:cs="Arial"/>
          <w:szCs w:val="22"/>
        </w:rPr>
      </w:pPr>
      <w:r w:rsidRPr="005113BD">
        <w:rPr>
          <w:rFonts w:cs="Arial"/>
          <w:szCs w:val="22"/>
        </w:rPr>
        <w:t>(3) Na celotnem območju OPPN je dopustna gradnja pomožnih infrastrukturnih objektov v skladu z določili, ki so opredeljeni v pogojih glede priključevanja objektov na gospodarsko javno infrastrukturo in grajeno javno dobro.</w:t>
      </w:r>
    </w:p>
    <w:p w:rsidR="00610BD6" w:rsidRPr="005113BD" w:rsidRDefault="00610BD6" w:rsidP="00610BD6">
      <w:pPr>
        <w:tabs>
          <w:tab w:val="left" w:pos="3645"/>
        </w:tabs>
        <w:jc w:val="both"/>
        <w:rPr>
          <w:rFonts w:cs="Arial"/>
          <w:szCs w:val="22"/>
        </w:rPr>
      </w:pPr>
      <w:r w:rsidRPr="005113BD">
        <w:rPr>
          <w:rFonts w:cs="Arial"/>
          <w:szCs w:val="22"/>
        </w:rPr>
        <w:t>(4) V varovalnem pasu avtoceste ni dovoljeno postavljati tabel, napisov in drugih objektov ali naprav za slikovno ali zvočno obveščanje in oglaševanje.</w:t>
      </w:r>
    </w:p>
    <w:p w:rsidR="00610BD6" w:rsidRPr="005113BD" w:rsidRDefault="00610BD6" w:rsidP="00610BD6">
      <w:pPr>
        <w:tabs>
          <w:tab w:val="left" w:pos="3645"/>
        </w:tabs>
        <w:jc w:val="both"/>
        <w:rPr>
          <w:rFonts w:cs="Arial"/>
          <w:szCs w:val="22"/>
        </w:rPr>
      </w:pPr>
      <w:r w:rsidRPr="005113BD">
        <w:rPr>
          <w:rFonts w:cs="Arial"/>
          <w:szCs w:val="22"/>
        </w:rPr>
        <w:t>(5) Če leži zemljišče, na katerem naj bi bil zgrajen nezahtevni ali enostavni objekt, na območju varovalnega pasu ali varovanem območju, mora investitor pridobiti soglasje pristojnega organa.</w:t>
      </w:r>
    </w:p>
    <w:p w:rsidR="00610BD6" w:rsidRPr="005113BD" w:rsidRDefault="00610BD6" w:rsidP="00610BD6">
      <w:pPr>
        <w:jc w:val="center"/>
        <w:rPr>
          <w:rFonts w:cs="Arial"/>
          <w:bCs/>
          <w:szCs w:val="22"/>
        </w:rPr>
      </w:pPr>
      <w:r w:rsidRPr="005113BD">
        <w:rPr>
          <w:rFonts w:cs="Arial"/>
          <w:bCs/>
          <w:szCs w:val="22"/>
        </w:rPr>
        <w:t>12. člen</w:t>
      </w:r>
    </w:p>
    <w:p w:rsidR="00610BD6" w:rsidRPr="005113BD" w:rsidRDefault="00610BD6" w:rsidP="00610BD6">
      <w:pPr>
        <w:jc w:val="center"/>
        <w:rPr>
          <w:rFonts w:cs="Arial"/>
          <w:bCs/>
          <w:szCs w:val="22"/>
        </w:rPr>
      </w:pPr>
      <w:r w:rsidRPr="005113BD">
        <w:rPr>
          <w:rFonts w:cs="Arial"/>
          <w:bCs/>
          <w:szCs w:val="22"/>
        </w:rPr>
        <w:t>(pogoji za oblikovanje objektov)</w:t>
      </w:r>
    </w:p>
    <w:p w:rsidR="00610BD6" w:rsidRPr="005113BD" w:rsidRDefault="00610BD6" w:rsidP="00610BD6">
      <w:pPr>
        <w:jc w:val="both"/>
        <w:rPr>
          <w:rFonts w:cs="Arial"/>
          <w:szCs w:val="22"/>
        </w:rPr>
      </w:pPr>
    </w:p>
    <w:p w:rsidR="00610BD6" w:rsidRPr="005113BD" w:rsidRDefault="00610BD6" w:rsidP="00610BD6">
      <w:pPr>
        <w:tabs>
          <w:tab w:val="left" w:pos="7920"/>
        </w:tabs>
        <w:jc w:val="both"/>
        <w:rPr>
          <w:rFonts w:cs="Arial"/>
          <w:szCs w:val="22"/>
        </w:rPr>
      </w:pPr>
      <w:r w:rsidRPr="005113BD">
        <w:rPr>
          <w:rFonts w:cs="Arial"/>
          <w:szCs w:val="22"/>
        </w:rPr>
        <w:t>(1) Skupni pogoji za oblikovanje objektov so:</w:t>
      </w:r>
    </w:p>
    <w:p w:rsidR="00610BD6" w:rsidRDefault="00610BD6" w:rsidP="00610BD6">
      <w:pPr>
        <w:tabs>
          <w:tab w:val="left" w:pos="7920"/>
        </w:tabs>
        <w:jc w:val="both"/>
        <w:rPr>
          <w:rFonts w:cs="Arial"/>
          <w:szCs w:val="22"/>
        </w:rPr>
      </w:pPr>
      <w:r>
        <w:rPr>
          <w:rFonts w:cs="Arial"/>
          <w:szCs w:val="22"/>
        </w:rPr>
        <w:t xml:space="preserve">-  </w:t>
      </w:r>
      <w:r w:rsidRPr="005113BD">
        <w:rPr>
          <w:rFonts w:cs="Arial"/>
          <w:szCs w:val="22"/>
        </w:rPr>
        <w:t>oblikovni princip ter izbor materialov in barv morata biti za vse objekte v prostorskih enotah P1, P2 in P3 usklajena;</w:t>
      </w:r>
    </w:p>
    <w:p w:rsidR="00610BD6" w:rsidRPr="005113BD" w:rsidRDefault="00610BD6" w:rsidP="00610BD6">
      <w:pPr>
        <w:tabs>
          <w:tab w:val="left" w:pos="7920"/>
        </w:tabs>
        <w:jc w:val="both"/>
        <w:rPr>
          <w:rFonts w:cs="Arial"/>
          <w:szCs w:val="22"/>
        </w:rPr>
      </w:pPr>
      <w:r>
        <w:rPr>
          <w:rFonts w:cs="Arial"/>
          <w:szCs w:val="22"/>
        </w:rPr>
        <w:t xml:space="preserve">-  </w:t>
      </w:r>
      <w:r w:rsidRPr="005113BD">
        <w:rPr>
          <w:rFonts w:cs="Arial"/>
          <w:szCs w:val="22"/>
        </w:rPr>
        <w:t>oblikovna zasnova objektov mora odražati njihovo programsko raznolikost.</w:t>
      </w:r>
    </w:p>
    <w:p w:rsidR="00610BD6" w:rsidRPr="005113BD" w:rsidRDefault="00610BD6" w:rsidP="00610BD6">
      <w:pPr>
        <w:pStyle w:val="Telobesedila"/>
        <w:jc w:val="both"/>
        <w:rPr>
          <w:rFonts w:cs="Arial"/>
          <w:b w:val="0"/>
          <w:szCs w:val="22"/>
        </w:rPr>
      </w:pPr>
      <w:r w:rsidRPr="005113BD">
        <w:rPr>
          <w:rFonts w:cs="Arial"/>
          <w:b w:val="0"/>
          <w:szCs w:val="22"/>
        </w:rPr>
        <w:lastRenderedPageBreak/>
        <w:t>(2) Prostorske enote P1, P2 in P3:</w:t>
      </w:r>
    </w:p>
    <w:p w:rsidR="00610BD6" w:rsidRPr="005113BD" w:rsidRDefault="00610BD6" w:rsidP="00610BD6">
      <w:pPr>
        <w:autoSpaceDE w:val="0"/>
        <w:autoSpaceDN w:val="0"/>
        <w:adjustRightInd w:val="0"/>
        <w:jc w:val="both"/>
        <w:rPr>
          <w:rFonts w:cs="Arial"/>
          <w:szCs w:val="22"/>
        </w:rPr>
      </w:pPr>
      <w:r w:rsidRPr="005113BD">
        <w:rPr>
          <w:rFonts w:cs="Arial"/>
          <w:szCs w:val="22"/>
        </w:rPr>
        <w:t>Fasade predvidenih objektov morajo biti zasnovane enotno in sodobno ter s kakovostnimi in trajnimi materiali. Streha je lahko simetrična dvokapna, kupolasta ali ravna, zaključena s parapetnim vencem. Lahko je pohodna in ozelenjena. Barva strešin je siva.</w:t>
      </w:r>
    </w:p>
    <w:p w:rsidR="00610BD6" w:rsidRPr="005113BD" w:rsidRDefault="00610BD6" w:rsidP="00610BD6">
      <w:pPr>
        <w:rPr>
          <w:rFonts w:cs="Arial"/>
          <w:b/>
          <w:bCs/>
          <w:szCs w:val="22"/>
        </w:rPr>
      </w:pPr>
    </w:p>
    <w:p w:rsidR="00610BD6" w:rsidRPr="005113BD" w:rsidRDefault="00610BD6" w:rsidP="00610BD6">
      <w:pPr>
        <w:jc w:val="center"/>
        <w:rPr>
          <w:rFonts w:cs="Arial"/>
          <w:bCs/>
          <w:szCs w:val="22"/>
        </w:rPr>
      </w:pPr>
      <w:r w:rsidRPr="005113BD">
        <w:rPr>
          <w:rFonts w:cs="Arial"/>
          <w:bCs/>
          <w:szCs w:val="22"/>
        </w:rPr>
        <w:t>13. člen</w:t>
      </w:r>
    </w:p>
    <w:p w:rsidR="00610BD6" w:rsidRPr="005113BD" w:rsidRDefault="00610BD6" w:rsidP="00610BD6">
      <w:pPr>
        <w:jc w:val="center"/>
        <w:rPr>
          <w:rFonts w:cs="Arial"/>
          <w:bCs/>
          <w:szCs w:val="22"/>
        </w:rPr>
      </w:pPr>
      <w:r w:rsidRPr="005113BD">
        <w:rPr>
          <w:rFonts w:cs="Arial"/>
          <w:bCs/>
          <w:szCs w:val="22"/>
        </w:rPr>
        <w:t>(pogoji za oblikovanje zunanjih površin)</w:t>
      </w:r>
    </w:p>
    <w:p w:rsidR="00610BD6" w:rsidRPr="005113BD" w:rsidRDefault="00610BD6" w:rsidP="00610BD6">
      <w:pPr>
        <w:jc w:val="center"/>
        <w:rPr>
          <w:rFonts w:cs="Arial"/>
          <w:b/>
          <w:bCs/>
          <w:szCs w:val="22"/>
        </w:rPr>
      </w:pPr>
    </w:p>
    <w:p w:rsidR="00610BD6" w:rsidRPr="005113BD" w:rsidRDefault="00610BD6" w:rsidP="00610BD6">
      <w:pPr>
        <w:rPr>
          <w:rFonts w:cs="Arial"/>
          <w:szCs w:val="22"/>
        </w:rPr>
      </w:pPr>
      <w:r w:rsidRPr="005113BD">
        <w:rPr>
          <w:rFonts w:cs="Arial"/>
          <w:szCs w:val="22"/>
        </w:rPr>
        <w:t xml:space="preserve">(1) Odprte površine, ki niso namenjene prometu, skladiščenju in manipulaciji, se zatravi in intenzivno ozeleni z grmovno in drevesno vegetacijo. </w:t>
      </w:r>
    </w:p>
    <w:p w:rsidR="00610BD6" w:rsidRPr="005113BD" w:rsidRDefault="00610BD6" w:rsidP="00610BD6">
      <w:pPr>
        <w:rPr>
          <w:rFonts w:cs="Arial"/>
          <w:szCs w:val="22"/>
        </w:rPr>
      </w:pPr>
      <w:r w:rsidRPr="005113BD">
        <w:rPr>
          <w:rFonts w:cs="Arial"/>
          <w:szCs w:val="22"/>
        </w:rPr>
        <w:t xml:space="preserve">(2) Za ozelenitev z grmovno in drevesno vegetacijo se uporabi avtohtone vrste rastlin, ki uspevajo v specifičnih rastiščnih razmerah (barje, prah, plini, deponija). </w:t>
      </w:r>
    </w:p>
    <w:p w:rsidR="00610BD6" w:rsidRPr="005113BD" w:rsidRDefault="00610BD6" w:rsidP="00610BD6">
      <w:pPr>
        <w:pStyle w:val="Telobesedila"/>
        <w:jc w:val="both"/>
        <w:rPr>
          <w:rFonts w:cs="Arial"/>
          <w:b w:val="0"/>
          <w:bCs w:val="0"/>
          <w:szCs w:val="22"/>
        </w:rPr>
      </w:pPr>
      <w:r w:rsidRPr="005113BD">
        <w:rPr>
          <w:rFonts w:cs="Arial"/>
          <w:b w:val="0"/>
          <w:bCs w:val="0"/>
          <w:szCs w:val="22"/>
        </w:rPr>
        <w:t>(3) V prostorskih enotah P1, P2 in P3 je potrebno zagotoviti minimalno 15 % odprtih bivalnih površin.</w:t>
      </w:r>
    </w:p>
    <w:p w:rsidR="00610BD6" w:rsidRPr="005113BD" w:rsidRDefault="00610BD6" w:rsidP="00610BD6">
      <w:pPr>
        <w:jc w:val="both"/>
        <w:rPr>
          <w:rFonts w:cs="Arial"/>
          <w:szCs w:val="22"/>
        </w:rPr>
      </w:pPr>
      <w:r w:rsidRPr="005113BD">
        <w:rPr>
          <w:rFonts w:cs="Arial"/>
          <w:szCs w:val="22"/>
        </w:rPr>
        <w:t>(4) V območju OPPN je treba zasaditi najmanj 25 dreves na hektar.</w:t>
      </w:r>
    </w:p>
    <w:p w:rsidR="00610BD6" w:rsidRPr="005113BD" w:rsidRDefault="00610BD6" w:rsidP="00610BD6">
      <w:pPr>
        <w:jc w:val="both"/>
        <w:rPr>
          <w:rFonts w:cs="Arial"/>
          <w:szCs w:val="22"/>
        </w:rPr>
      </w:pPr>
      <w:r w:rsidRPr="005113BD">
        <w:rPr>
          <w:rFonts w:cs="Arial"/>
          <w:szCs w:val="22"/>
        </w:rPr>
        <w:t xml:space="preserve">(5) </w:t>
      </w:r>
      <w:proofErr w:type="spellStart"/>
      <w:r w:rsidRPr="005113BD">
        <w:rPr>
          <w:rFonts w:cs="Arial"/>
          <w:szCs w:val="22"/>
        </w:rPr>
        <w:t>Povozne</w:t>
      </w:r>
      <w:proofErr w:type="spellEnd"/>
      <w:r w:rsidRPr="005113BD">
        <w:rPr>
          <w:rFonts w:cs="Arial"/>
          <w:szCs w:val="22"/>
        </w:rPr>
        <w:t xml:space="preserve"> in manipulacijske površine ter peš poti morajo biti asfaltirane ali tlakovane ter primerno osvetljene. Nosilnost asfalta mora ustrezati večjim prometnim obremenitvam.</w:t>
      </w:r>
    </w:p>
    <w:p w:rsidR="00610BD6" w:rsidRPr="005113BD" w:rsidRDefault="00610BD6" w:rsidP="00610BD6">
      <w:pPr>
        <w:jc w:val="both"/>
        <w:rPr>
          <w:rFonts w:cs="Arial"/>
          <w:szCs w:val="22"/>
        </w:rPr>
      </w:pPr>
      <w:r w:rsidRPr="005113BD">
        <w:rPr>
          <w:rFonts w:cs="Arial"/>
          <w:szCs w:val="22"/>
        </w:rPr>
        <w:t xml:space="preserve">(6) Dovozna cesta je </w:t>
      </w:r>
      <w:r w:rsidRPr="005113BD">
        <w:rPr>
          <w:rFonts w:cs="Arial"/>
          <w:bCs/>
          <w:szCs w:val="22"/>
        </w:rPr>
        <w:t>predvidena v asfaltni izvedbi in primerno osvetljena.</w:t>
      </w:r>
      <w:r w:rsidRPr="005113BD">
        <w:rPr>
          <w:rFonts w:cs="Arial"/>
          <w:szCs w:val="22"/>
        </w:rPr>
        <w:t xml:space="preserve"> Obcestni prostor bo zatravljen in zasajen z dvostranskim drevoredom.</w:t>
      </w:r>
    </w:p>
    <w:p w:rsidR="00610BD6" w:rsidRPr="005113BD" w:rsidRDefault="00610BD6" w:rsidP="00610BD6">
      <w:pPr>
        <w:jc w:val="both"/>
        <w:rPr>
          <w:rFonts w:cs="Arial"/>
          <w:szCs w:val="22"/>
        </w:rPr>
      </w:pPr>
      <w:bookmarkStart w:id="30" w:name="OLE_LINK44"/>
      <w:bookmarkStart w:id="31" w:name="OLE_LINK45"/>
      <w:r w:rsidRPr="005113BD">
        <w:rPr>
          <w:rFonts w:cs="Arial"/>
          <w:szCs w:val="22"/>
        </w:rPr>
        <w:t>(7) Dopustna je postavitev ograj. Ograja naj bo žična, kjer je možno ozelenjena z živo mejo ali popenjavkami. Višina ograje namenjene fizičnem varovanju je lahko največ 2,00 m.</w:t>
      </w:r>
    </w:p>
    <w:bookmarkEnd w:id="30"/>
    <w:bookmarkEnd w:id="31"/>
    <w:p w:rsidR="00610BD6" w:rsidRPr="005113BD" w:rsidRDefault="00610BD6" w:rsidP="00610BD6">
      <w:pPr>
        <w:widowControl w:val="0"/>
        <w:jc w:val="both"/>
        <w:rPr>
          <w:rFonts w:cs="Arial"/>
          <w:szCs w:val="22"/>
        </w:rPr>
      </w:pPr>
      <w:r w:rsidRPr="005113BD">
        <w:rPr>
          <w:rFonts w:cs="Arial"/>
          <w:szCs w:val="22"/>
        </w:rPr>
        <w:t xml:space="preserve">(8) Dopustna je postavitev </w:t>
      </w:r>
      <w:proofErr w:type="spellStart"/>
      <w:r w:rsidRPr="005113BD">
        <w:rPr>
          <w:rFonts w:cs="Arial"/>
          <w:szCs w:val="22"/>
        </w:rPr>
        <w:t>mikrourbane</w:t>
      </w:r>
      <w:proofErr w:type="spellEnd"/>
      <w:r w:rsidRPr="005113BD">
        <w:rPr>
          <w:rFonts w:cs="Arial"/>
          <w:szCs w:val="22"/>
        </w:rPr>
        <w:t xml:space="preserve"> opreme.</w:t>
      </w:r>
    </w:p>
    <w:p w:rsidR="00610BD6" w:rsidRPr="005113BD" w:rsidRDefault="00610BD6" w:rsidP="00610BD6">
      <w:pPr>
        <w:jc w:val="center"/>
        <w:rPr>
          <w:rFonts w:cs="Arial"/>
          <w:bCs/>
          <w:szCs w:val="22"/>
        </w:rPr>
      </w:pPr>
    </w:p>
    <w:p w:rsidR="00610BD6" w:rsidRPr="005113BD" w:rsidRDefault="00610BD6" w:rsidP="00610BD6">
      <w:pPr>
        <w:jc w:val="center"/>
        <w:rPr>
          <w:rFonts w:cs="Arial"/>
          <w:bCs/>
          <w:szCs w:val="22"/>
        </w:rPr>
      </w:pPr>
      <w:r w:rsidRPr="005113BD">
        <w:rPr>
          <w:rFonts w:cs="Arial"/>
          <w:bCs/>
          <w:szCs w:val="22"/>
        </w:rPr>
        <w:t>14. člen</w:t>
      </w:r>
    </w:p>
    <w:p w:rsidR="00610BD6" w:rsidRPr="005113BD" w:rsidRDefault="00610BD6" w:rsidP="00610BD6">
      <w:pPr>
        <w:jc w:val="center"/>
        <w:rPr>
          <w:rFonts w:cs="Arial"/>
          <w:bCs/>
          <w:szCs w:val="22"/>
        </w:rPr>
      </w:pPr>
      <w:r w:rsidRPr="005113BD">
        <w:rPr>
          <w:rFonts w:cs="Arial"/>
          <w:bCs/>
          <w:szCs w:val="22"/>
        </w:rPr>
        <w:t>(objekti, predvideni za odstranitev)</w:t>
      </w:r>
    </w:p>
    <w:p w:rsidR="00610BD6" w:rsidRPr="005113BD" w:rsidRDefault="00610BD6" w:rsidP="00610BD6">
      <w:pPr>
        <w:jc w:val="both"/>
        <w:rPr>
          <w:rFonts w:cs="Arial"/>
          <w:b/>
          <w:szCs w:val="22"/>
        </w:rPr>
      </w:pPr>
    </w:p>
    <w:p w:rsidR="00610BD6" w:rsidRPr="005113BD" w:rsidRDefault="00610BD6" w:rsidP="00610BD6">
      <w:pPr>
        <w:jc w:val="both"/>
        <w:rPr>
          <w:rFonts w:cs="Arial"/>
          <w:szCs w:val="22"/>
        </w:rPr>
      </w:pPr>
      <w:r w:rsidRPr="005113BD">
        <w:rPr>
          <w:rFonts w:cs="Arial"/>
          <w:szCs w:val="22"/>
        </w:rPr>
        <w:t>(1) V območju OPPN je predvideno rušenje vseh obstoječih objektov in ograj z izjemo obstoječe transformatorske postaje ob Poti na Tojnice.</w:t>
      </w:r>
    </w:p>
    <w:p w:rsidR="00610BD6" w:rsidRPr="005113BD" w:rsidRDefault="00610BD6" w:rsidP="00610BD6">
      <w:pPr>
        <w:jc w:val="both"/>
        <w:rPr>
          <w:rFonts w:cs="Arial"/>
          <w:szCs w:val="22"/>
        </w:rPr>
      </w:pPr>
      <w:r w:rsidRPr="005113BD">
        <w:rPr>
          <w:rFonts w:cs="Arial"/>
          <w:szCs w:val="22"/>
        </w:rPr>
        <w:t>(2) Rušenje objektov lahko poteka fazno.</w:t>
      </w:r>
    </w:p>
    <w:p w:rsidR="00610BD6" w:rsidRPr="005113BD" w:rsidRDefault="00610BD6" w:rsidP="00610BD6">
      <w:pPr>
        <w:jc w:val="both"/>
        <w:rPr>
          <w:rFonts w:cs="Arial"/>
          <w:szCs w:val="22"/>
        </w:rPr>
      </w:pPr>
      <w:r w:rsidRPr="005113BD">
        <w:rPr>
          <w:rFonts w:cs="Arial"/>
          <w:szCs w:val="22"/>
        </w:rPr>
        <w:t>(3) Objekti, ki so predvideni za rušenje, so razvidni iz grafičnega načrta št. 4.6. »Načrt odstranitve objektov«.</w:t>
      </w: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t>15. člen</w:t>
      </w:r>
    </w:p>
    <w:p w:rsidR="00610BD6" w:rsidRPr="005113BD" w:rsidRDefault="00610BD6" w:rsidP="00610BD6">
      <w:pPr>
        <w:jc w:val="center"/>
        <w:rPr>
          <w:rFonts w:cs="Arial"/>
          <w:bCs/>
          <w:szCs w:val="22"/>
        </w:rPr>
      </w:pPr>
      <w:r w:rsidRPr="005113BD">
        <w:rPr>
          <w:rFonts w:cs="Arial"/>
          <w:bCs/>
          <w:szCs w:val="22"/>
        </w:rPr>
        <w:t>(tlorisni gabariti)</w:t>
      </w:r>
    </w:p>
    <w:p w:rsidR="00610BD6" w:rsidRPr="005113BD" w:rsidRDefault="00610BD6" w:rsidP="00610BD6">
      <w:pPr>
        <w:jc w:val="both"/>
        <w:rPr>
          <w:rFonts w:cs="Arial"/>
          <w:bCs/>
          <w:szCs w:val="22"/>
        </w:rPr>
      </w:pPr>
    </w:p>
    <w:p w:rsidR="00610BD6" w:rsidRPr="005113BD" w:rsidRDefault="00610BD6" w:rsidP="00610BD6">
      <w:pPr>
        <w:jc w:val="both"/>
        <w:rPr>
          <w:rFonts w:cs="Arial"/>
          <w:szCs w:val="22"/>
        </w:rPr>
      </w:pPr>
      <w:r w:rsidRPr="005113BD">
        <w:rPr>
          <w:rFonts w:cs="Arial"/>
          <w:szCs w:val="22"/>
        </w:rPr>
        <w:t>(1) Prostorska enota P1:</w:t>
      </w:r>
    </w:p>
    <w:p w:rsidR="00610BD6" w:rsidRPr="005113BD" w:rsidRDefault="00610BD6" w:rsidP="00610BD6">
      <w:pPr>
        <w:numPr>
          <w:ilvl w:val="0"/>
          <w:numId w:val="2"/>
        </w:numPr>
        <w:tabs>
          <w:tab w:val="clear" w:pos="568"/>
        </w:tabs>
        <w:ind w:left="567" w:hanging="283"/>
        <w:jc w:val="both"/>
        <w:rPr>
          <w:rFonts w:cs="Arial"/>
          <w:szCs w:val="22"/>
        </w:rPr>
      </w:pPr>
      <w:r w:rsidRPr="005113BD">
        <w:rPr>
          <w:rFonts w:cs="Arial"/>
          <w:szCs w:val="22"/>
        </w:rPr>
        <w:t>predvideni objekt (1)</w:t>
      </w:r>
      <w:r w:rsidRPr="005113BD">
        <w:rPr>
          <w:rFonts w:cs="Arial"/>
          <w:szCs w:val="22"/>
        </w:rPr>
        <w:tab/>
      </w:r>
      <w:r w:rsidRPr="005113BD">
        <w:rPr>
          <w:rFonts w:cs="Arial"/>
          <w:szCs w:val="22"/>
        </w:rPr>
        <w:tab/>
      </w:r>
      <w:r w:rsidRPr="005113BD">
        <w:rPr>
          <w:rFonts w:cs="Arial"/>
          <w:szCs w:val="22"/>
        </w:rPr>
        <w:tab/>
        <w:t>30,00 m x 50,00 m z vmesnim zamikom 8,50 m x</w:t>
      </w:r>
    </w:p>
    <w:p w:rsidR="00610BD6" w:rsidRPr="005113BD" w:rsidRDefault="00610BD6" w:rsidP="00610BD6">
      <w:pPr>
        <w:ind w:left="4108" w:firstLine="140"/>
        <w:jc w:val="both"/>
        <w:rPr>
          <w:rFonts w:cs="Arial"/>
          <w:szCs w:val="22"/>
        </w:rPr>
      </w:pPr>
      <w:r w:rsidRPr="005113BD">
        <w:rPr>
          <w:rFonts w:cs="Arial"/>
          <w:szCs w:val="22"/>
        </w:rPr>
        <w:t xml:space="preserve">8,50 m </w:t>
      </w:r>
    </w:p>
    <w:p w:rsidR="00610BD6" w:rsidRPr="005113BD" w:rsidRDefault="00610BD6" w:rsidP="00610BD6">
      <w:pPr>
        <w:numPr>
          <w:ilvl w:val="0"/>
          <w:numId w:val="15"/>
        </w:numPr>
        <w:jc w:val="both"/>
        <w:rPr>
          <w:rFonts w:cs="Arial"/>
          <w:szCs w:val="22"/>
        </w:rPr>
      </w:pPr>
      <w:r w:rsidRPr="005113BD">
        <w:rPr>
          <w:rFonts w:cs="Arial"/>
          <w:szCs w:val="22"/>
        </w:rPr>
        <w:t>predvideni objekt – TP (13)</w:t>
      </w:r>
      <w:r w:rsidRPr="005113BD">
        <w:rPr>
          <w:rFonts w:cs="Arial"/>
          <w:szCs w:val="22"/>
        </w:rPr>
        <w:tab/>
      </w:r>
      <w:r w:rsidRPr="005113BD">
        <w:rPr>
          <w:rFonts w:cs="Arial"/>
          <w:szCs w:val="22"/>
        </w:rPr>
        <w:tab/>
        <w:t>4,10 m x 3,20 m</w:t>
      </w:r>
    </w:p>
    <w:p w:rsidR="00610BD6" w:rsidRPr="005113BD" w:rsidRDefault="00610BD6" w:rsidP="00610BD6">
      <w:pPr>
        <w:ind w:left="4244"/>
        <w:jc w:val="both"/>
        <w:rPr>
          <w:rFonts w:cs="Arial"/>
          <w:szCs w:val="22"/>
        </w:rPr>
      </w:pPr>
    </w:p>
    <w:p w:rsidR="00610BD6" w:rsidRPr="005113BD" w:rsidRDefault="00610BD6" w:rsidP="00610BD6">
      <w:pPr>
        <w:jc w:val="both"/>
        <w:rPr>
          <w:rFonts w:cs="Arial"/>
          <w:szCs w:val="22"/>
        </w:rPr>
      </w:pPr>
      <w:r w:rsidRPr="005113BD">
        <w:rPr>
          <w:rFonts w:cs="Arial"/>
          <w:szCs w:val="22"/>
        </w:rPr>
        <w:t>(2) Prostorska enota P2:</w:t>
      </w:r>
    </w:p>
    <w:p w:rsidR="00610BD6" w:rsidRPr="005113BD" w:rsidRDefault="00610BD6" w:rsidP="00610BD6">
      <w:pPr>
        <w:numPr>
          <w:ilvl w:val="0"/>
          <w:numId w:val="15"/>
        </w:numPr>
        <w:jc w:val="both"/>
        <w:rPr>
          <w:rFonts w:cs="Arial"/>
          <w:szCs w:val="22"/>
        </w:rPr>
      </w:pPr>
      <w:r w:rsidRPr="005113BD">
        <w:rPr>
          <w:rFonts w:cs="Arial"/>
          <w:szCs w:val="22"/>
        </w:rPr>
        <w:t>predvideni objekt (2)</w:t>
      </w:r>
      <w:r w:rsidRPr="005113BD">
        <w:rPr>
          <w:rFonts w:cs="Arial"/>
          <w:szCs w:val="22"/>
        </w:rPr>
        <w:tab/>
      </w:r>
      <w:r w:rsidRPr="005113BD">
        <w:rPr>
          <w:rFonts w:cs="Arial"/>
          <w:szCs w:val="22"/>
        </w:rPr>
        <w:tab/>
      </w:r>
      <w:r w:rsidRPr="005113BD">
        <w:rPr>
          <w:rFonts w:cs="Arial"/>
          <w:szCs w:val="22"/>
        </w:rPr>
        <w:tab/>
        <w:t>30,00 m x 15,00 m</w:t>
      </w:r>
    </w:p>
    <w:p w:rsidR="00610BD6" w:rsidRPr="005113BD" w:rsidRDefault="00610BD6" w:rsidP="00610BD6">
      <w:pPr>
        <w:numPr>
          <w:ilvl w:val="0"/>
          <w:numId w:val="15"/>
        </w:numPr>
        <w:jc w:val="both"/>
        <w:rPr>
          <w:rFonts w:cs="Arial"/>
          <w:szCs w:val="22"/>
        </w:rPr>
      </w:pPr>
      <w:r w:rsidRPr="005113BD">
        <w:rPr>
          <w:rFonts w:cs="Arial"/>
          <w:szCs w:val="22"/>
        </w:rPr>
        <w:t>predvideni objekt (3a-3b)</w:t>
      </w:r>
      <w:r w:rsidRPr="005113BD">
        <w:rPr>
          <w:rFonts w:cs="Arial"/>
          <w:szCs w:val="22"/>
        </w:rPr>
        <w:tab/>
      </w:r>
      <w:r w:rsidRPr="005113BD">
        <w:rPr>
          <w:rFonts w:cs="Arial"/>
          <w:szCs w:val="22"/>
        </w:rPr>
        <w:tab/>
        <w:t>30,00 m x 30,00 m</w:t>
      </w:r>
    </w:p>
    <w:p w:rsidR="00610BD6" w:rsidRPr="005113BD" w:rsidRDefault="00610BD6" w:rsidP="00610BD6">
      <w:pPr>
        <w:numPr>
          <w:ilvl w:val="0"/>
          <w:numId w:val="15"/>
        </w:numPr>
        <w:jc w:val="both"/>
        <w:rPr>
          <w:rFonts w:cs="Arial"/>
          <w:szCs w:val="22"/>
        </w:rPr>
      </w:pPr>
      <w:r w:rsidRPr="005113BD">
        <w:rPr>
          <w:rFonts w:cs="Arial"/>
          <w:szCs w:val="22"/>
        </w:rPr>
        <w:t xml:space="preserve">povezovalni mostovž (2-3a) </w:t>
      </w:r>
      <w:r w:rsidRPr="005113BD">
        <w:rPr>
          <w:rFonts w:cs="Arial"/>
          <w:szCs w:val="22"/>
        </w:rPr>
        <w:tab/>
      </w:r>
      <w:r w:rsidRPr="005113BD">
        <w:rPr>
          <w:rFonts w:cs="Arial"/>
          <w:szCs w:val="22"/>
        </w:rPr>
        <w:tab/>
        <w:t>15,00 m x 15,00 m</w:t>
      </w:r>
    </w:p>
    <w:p w:rsidR="00610BD6" w:rsidRPr="005113BD" w:rsidRDefault="00610BD6" w:rsidP="00610BD6">
      <w:pPr>
        <w:numPr>
          <w:ilvl w:val="0"/>
          <w:numId w:val="15"/>
        </w:numPr>
        <w:jc w:val="both"/>
        <w:rPr>
          <w:rFonts w:cs="Arial"/>
          <w:szCs w:val="22"/>
        </w:rPr>
      </w:pPr>
      <w:r w:rsidRPr="005113BD">
        <w:rPr>
          <w:rFonts w:cs="Arial"/>
          <w:szCs w:val="22"/>
        </w:rPr>
        <w:t>predvideni objekt (4a-4b)</w:t>
      </w:r>
      <w:r w:rsidRPr="005113BD">
        <w:rPr>
          <w:rFonts w:cs="Arial"/>
          <w:szCs w:val="22"/>
        </w:rPr>
        <w:tab/>
      </w:r>
      <w:r w:rsidRPr="005113BD">
        <w:rPr>
          <w:rFonts w:cs="Arial"/>
          <w:szCs w:val="22"/>
        </w:rPr>
        <w:tab/>
        <w:t>28,00 m x 30,00 m</w:t>
      </w:r>
    </w:p>
    <w:p w:rsidR="00610BD6" w:rsidRPr="005113BD" w:rsidRDefault="00610BD6" w:rsidP="00610BD6">
      <w:pPr>
        <w:numPr>
          <w:ilvl w:val="0"/>
          <w:numId w:val="15"/>
        </w:numPr>
        <w:jc w:val="both"/>
        <w:rPr>
          <w:rFonts w:cs="Arial"/>
          <w:szCs w:val="22"/>
        </w:rPr>
      </w:pPr>
      <w:r w:rsidRPr="005113BD">
        <w:rPr>
          <w:rFonts w:cs="Arial"/>
          <w:szCs w:val="22"/>
        </w:rPr>
        <w:t>predvideni objekt (5)</w:t>
      </w:r>
      <w:r w:rsidRPr="005113BD">
        <w:rPr>
          <w:rFonts w:cs="Arial"/>
          <w:szCs w:val="22"/>
        </w:rPr>
        <w:tab/>
      </w:r>
      <w:r w:rsidRPr="005113BD">
        <w:rPr>
          <w:rFonts w:cs="Arial"/>
          <w:szCs w:val="22"/>
        </w:rPr>
        <w:tab/>
      </w:r>
      <w:r w:rsidRPr="005113BD">
        <w:rPr>
          <w:rFonts w:cs="Arial"/>
          <w:szCs w:val="22"/>
        </w:rPr>
        <w:tab/>
        <w:t>27,50 m x 15,00 m</w:t>
      </w:r>
    </w:p>
    <w:p w:rsidR="00610BD6" w:rsidRPr="005113BD" w:rsidRDefault="00610BD6" w:rsidP="00610BD6">
      <w:pPr>
        <w:numPr>
          <w:ilvl w:val="0"/>
          <w:numId w:val="15"/>
        </w:numPr>
        <w:jc w:val="both"/>
        <w:rPr>
          <w:rFonts w:cs="Arial"/>
          <w:szCs w:val="22"/>
        </w:rPr>
      </w:pPr>
      <w:r w:rsidRPr="005113BD">
        <w:rPr>
          <w:rFonts w:cs="Arial"/>
          <w:szCs w:val="22"/>
        </w:rPr>
        <w:t>predvideni objekt (6a-6b)</w:t>
      </w:r>
      <w:r w:rsidRPr="005113BD">
        <w:rPr>
          <w:rFonts w:cs="Arial"/>
          <w:szCs w:val="22"/>
        </w:rPr>
        <w:tab/>
      </w:r>
      <w:r w:rsidRPr="005113BD">
        <w:rPr>
          <w:rFonts w:cs="Arial"/>
          <w:szCs w:val="22"/>
        </w:rPr>
        <w:tab/>
        <w:t>27,50 m x 30,00 m</w:t>
      </w:r>
    </w:p>
    <w:p w:rsidR="00610BD6" w:rsidRPr="005113BD" w:rsidRDefault="00610BD6" w:rsidP="00610BD6">
      <w:pPr>
        <w:numPr>
          <w:ilvl w:val="0"/>
          <w:numId w:val="15"/>
        </w:numPr>
        <w:jc w:val="both"/>
        <w:rPr>
          <w:rFonts w:cs="Arial"/>
          <w:szCs w:val="22"/>
        </w:rPr>
      </w:pPr>
      <w:r w:rsidRPr="005113BD">
        <w:rPr>
          <w:rFonts w:cs="Arial"/>
          <w:szCs w:val="22"/>
        </w:rPr>
        <w:t xml:space="preserve">povezovalni mostovž (5-6a) </w:t>
      </w:r>
      <w:r w:rsidRPr="005113BD">
        <w:rPr>
          <w:rFonts w:cs="Arial"/>
          <w:szCs w:val="22"/>
        </w:rPr>
        <w:tab/>
      </w:r>
      <w:r w:rsidRPr="005113BD">
        <w:rPr>
          <w:rFonts w:cs="Arial"/>
          <w:szCs w:val="22"/>
        </w:rPr>
        <w:tab/>
        <w:t>15,00 m x 15,00 m</w:t>
      </w:r>
    </w:p>
    <w:p w:rsidR="00610BD6" w:rsidRPr="005113BD" w:rsidRDefault="00610BD6" w:rsidP="00610BD6">
      <w:pPr>
        <w:numPr>
          <w:ilvl w:val="0"/>
          <w:numId w:val="15"/>
        </w:numPr>
        <w:jc w:val="both"/>
        <w:rPr>
          <w:rFonts w:cs="Arial"/>
          <w:szCs w:val="22"/>
        </w:rPr>
      </w:pPr>
      <w:r w:rsidRPr="005113BD">
        <w:rPr>
          <w:rFonts w:cs="Arial"/>
          <w:szCs w:val="22"/>
        </w:rPr>
        <w:t>predvideni objekt – TP (12)</w:t>
      </w:r>
      <w:r w:rsidRPr="005113BD">
        <w:rPr>
          <w:rFonts w:cs="Arial"/>
          <w:szCs w:val="22"/>
        </w:rPr>
        <w:tab/>
      </w:r>
      <w:r w:rsidRPr="005113BD">
        <w:rPr>
          <w:rFonts w:cs="Arial"/>
          <w:szCs w:val="22"/>
        </w:rPr>
        <w:tab/>
        <w:t>4,10 m x 3,20 m</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(3) Prostorska enota P3:</w:t>
      </w:r>
    </w:p>
    <w:p w:rsidR="00610BD6" w:rsidRPr="005113BD" w:rsidRDefault="00610BD6" w:rsidP="00610BD6">
      <w:pPr>
        <w:numPr>
          <w:ilvl w:val="0"/>
          <w:numId w:val="2"/>
        </w:numPr>
        <w:jc w:val="both"/>
        <w:rPr>
          <w:rFonts w:cs="Arial"/>
          <w:szCs w:val="22"/>
        </w:rPr>
      </w:pPr>
      <w:r w:rsidRPr="005113BD">
        <w:rPr>
          <w:rFonts w:cs="Arial"/>
          <w:szCs w:val="22"/>
        </w:rPr>
        <w:t>predvideni objekt (7a-7b)</w:t>
      </w:r>
      <w:r w:rsidRPr="005113BD">
        <w:rPr>
          <w:rFonts w:cs="Arial"/>
          <w:szCs w:val="22"/>
        </w:rPr>
        <w:tab/>
      </w:r>
      <w:r w:rsidRPr="005113BD">
        <w:rPr>
          <w:rFonts w:cs="Arial"/>
          <w:szCs w:val="22"/>
        </w:rPr>
        <w:tab/>
        <w:t xml:space="preserve">50,00 m x 15,00 m </w:t>
      </w:r>
    </w:p>
    <w:p w:rsidR="00610BD6" w:rsidRPr="005113BD" w:rsidRDefault="00610BD6" w:rsidP="00610BD6">
      <w:pPr>
        <w:numPr>
          <w:ilvl w:val="0"/>
          <w:numId w:val="2"/>
        </w:numPr>
        <w:jc w:val="both"/>
        <w:rPr>
          <w:rFonts w:cs="Arial"/>
          <w:szCs w:val="22"/>
        </w:rPr>
      </w:pPr>
      <w:r w:rsidRPr="005113BD">
        <w:rPr>
          <w:rFonts w:cs="Arial"/>
          <w:szCs w:val="22"/>
        </w:rPr>
        <w:t>predvideni objekt (8a-8b)</w:t>
      </w:r>
      <w:r w:rsidRPr="005113BD">
        <w:rPr>
          <w:rFonts w:cs="Arial"/>
          <w:szCs w:val="22"/>
        </w:rPr>
        <w:tab/>
      </w:r>
      <w:r w:rsidRPr="005113BD">
        <w:rPr>
          <w:rFonts w:cs="Arial"/>
          <w:szCs w:val="22"/>
        </w:rPr>
        <w:tab/>
        <w:t xml:space="preserve">38,00 m x 15,00 m </w:t>
      </w:r>
    </w:p>
    <w:p w:rsidR="00610BD6" w:rsidRPr="005113BD" w:rsidRDefault="00610BD6" w:rsidP="00610BD6">
      <w:pPr>
        <w:numPr>
          <w:ilvl w:val="0"/>
          <w:numId w:val="2"/>
        </w:numPr>
        <w:jc w:val="both"/>
        <w:rPr>
          <w:rFonts w:cs="Arial"/>
          <w:szCs w:val="22"/>
        </w:rPr>
      </w:pPr>
      <w:r w:rsidRPr="005113BD">
        <w:rPr>
          <w:rFonts w:cs="Arial"/>
          <w:szCs w:val="22"/>
        </w:rPr>
        <w:t>predvideni objekt (9)</w:t>
      </w:r>
      <w:r w:rsidRPr="005113BD">
        <w:rPr>
          <w:rFonts w:cs="Arial"/>
          <w:szCs w:val="22"/>
        </w:rPr>
        <w:tab/>
      </w:r>
      <w:r w:rsidRPr="005113BD">
        <w:rPr>
          <w:rFonts w:cs="Arial"/>
          <w:szCs w:val="22"/>
        </w:rPr>
        <w:tab/>
      </w:r>
      <w:r w:rsidRPr="005113BD">
        <w:rPr>
          <w:rFonts w:cs="Arial"/>
          <w:szCs w:val="22"/>
        </w:rPr>
        <w:tab/>
        <w:t xml:space="preserve">25,00 m x 15,00 m </w:t>
      </w:r>
    </w:p>
    <w:p w:rsidR="00610BD6" w:rsidRPr="005113BD" w:rsidRDefault="00610BD6" w:rsidP="00610BD6">
      <w:pPr>
        <w:numPr>
          <w:ilvl w:val="0"/>
          <w:numId w:val="2"/>
        </w:numPr>
        <w:jc w:val="both"/>
        <w:rPr>
          <w:rFonts w:cs="Arial"/>
          <w:szCs w:val="22"/>
        </w:rPr>
      </w:pPr>
      <w:r w:rsidRPr="005113BD">
        <w:rPr>
          <w:rFonts w:cs="Arial"/>
          <w:szCs w:val="22"/>
        </w:rPr>
        <w:t>predvideni objekt (10a-10b)</w:t>
      </w:r>
      <w:r w:rsidRPr="005113BD">
        <w:rPr>
          <w:rFonts w:cs="Arial"/>
          <w:szCs w:val="22"/>
        </w:rPr>
        <w:tab/>
      </w:r>
      <w:r w:rsidRPr="005113BD">
        <w:rPr>
          <w:rFonts w:cs="Arial"/>
          <w:szCs w:val="22"/>
        </w:rPr>
        <w:tab/>
        <w:t xml:space="preserve">38,00 m x 15,00 m </w:t>
      </w:r>
    </w:p>
    <w:p w:rsidR="00610BD6" w:rsidRPr="005113BD" w:rsidRDefault="00610BD6" w:rsidP="00610BD6">
      <w:pPr>
        <w:numPr>
          <w:ilvl w:val="0"/>
          <w:numId w:val="2"/>
        </w:numPr>
        <w:jc w:val="both"/>
        <w:rPr>
          <w:rFonts w:cs="Arial"/>
          <w:szCs w:val="22"/>
        </w:rPr>
      </w:pPr>
      <w:r w:rsidRPr="005113BD">
        <w:rPr>
          <w:rFonts w:cs="Arial"/>
          <w:szCs w:val="22"/>
        </w:rPr>
        <w:lastRenderedPageBreak/>
        <w:t>predvideni objekt (11a-11b-11c)</w:t>
      </w:r>
      <w:r w:rsidRPr="005113BD">
        <w:rPr>
          <w:rFonts w:cs="Arial"/>
          <w:szCs w:val="22"/>
        </w:rPr>
        <w:tab/>
        <w:t xml:space="preserve">15,00 m x 90,00 m </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(4) Odmik skrajnih točk objektov od roba avtocestnega sveta mora biti minimalno 40,00 m.</w:t>
      </w:r>
    </w:p>
    <w:p w:rsidR="00610BD6" w:rsidRPr="005113BD" w:rsidRDefault="00610BD6" w:rsidP="00610BD6">
      <w:pPr>
        <w:jc w:val="both"/>
        <w:rPr>
          <w:rFonts w:cs="Arial"/>
          <w:szCs w:val="22"/>
        </w:rPr>
      </w:pPr>
      <w:r w:rsidRPr="005113BD">
        <w:rPr>
          <w:rFonts w:cs="Arial"/>
          <w:szCs w:val="22"/>
        </w:rPr>
        <w:t>(5) Tlorisni gabariti so določeni v grafičnih načrtih št. 4.1. »Ureditvena situacija – nivo pritličja«, št. 4.2. »Ureditvena situacija – strehe in prerezi«.</w:t>
      </w: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t>16. člen</w:t>
      </w:r>
    </w:p>
    <w:p w:rsidR="00610BD6" w:rsidRPr="005113BD" w:rsidRDefault="00610BD6" w:rsidP="00610BD6">
      <w:pPr>
        <w:jc w:val="center"/>
        <w:rPr>
          <w:rFonts w:cs="Arial"/>
          <w:bCs/>
          <w:szCs w:val="22"/>
        </w:rPr>
      </w:pPr>
      <w:r w:rsidRPr="005113BD">
        <w:rPr>
          <w:rFonts w:cs="Arial"/>
          <w:bCs/>
          <w:szCs w:val="22"/>
        </w:rPr>
        <w:t>(višinski gabariti)</w:t>
      </w:r>
    </w:p>
    <w:p w:rsidR="00610BD6" w:rsidRPr="005113BD" w:rsidRDefault="00610BD6" w:rsidP="00610BD6">
      <w:pPr>
        <w:tabs>
          <w:tab w:val="left" w:pos="426"/>
        </w:tabs>
        <w:jc w:val="both"/>
        <w:rPr>
          <w:rFonts w:cs="Arial"/>
          <w:szCs w:val="22"/>
        </w:rPr>
      </w:pPr>
    </w:p>
    <w:p w:rsidR="00610BD6" w:rsidRPr="005113BD" w:rsidRDefault="00610BD6" w:rsidP="00610BD6">
      <w:pPr>
        <w:rPr>
          <w:rFonts w:cs="Arial"/>
          <w:szCs w:val="22"/>
        </w:rPr>
      </w:pPr>
      <w:r w:rsidRPr="005113BD">
        <w:rPr>
          <w:rFonts w:cs="Arial"/>
          <w:szCs w:val="22"/>
        </w:rPr>
        <w:t xml:space="preserve">(1) Dopusten višinski gabarit objektov je največ P+2 oz. 12 m. </w:t>
      </w:r>
    </w:p>
    <w:p w:rsidR="00610BD6" w:rsidRPr="005113BD" w:rsidRDefault="00610BD6" w:rsidP="00610BD6">
      <w:pPr>
        <w:rPr>
          <w:rFonts w:cs="Arial"/>
          <w:szCs w:val="22"/>
        </w:rPr>
      </w:pPr>
      <w:r w:rsidRPr="005113BD">
        <w:rPr>
          <w:rFonts w:cs="Arial"/>
          <w:szCs w:val="22"/>
        </w:rPr>
        <w:t xml:space="preserve">(2) Višina objekta je določena z najvišjo točko slemena ali venca strehe najvišje etaže in se meri od kote pritličja objekta. Nad njo je dopustno postaviti tehnične naprave za obratovanje objekta, solarne naprave ter izhode na streho. </w:t>
      </w:r>
    </w:p>
    <w:p w:rsidR="00610BD6" w:rsidRPr="005113BD" w:rsidRDefault="00610BD6" w:rsidP="00610BD6">
      <w:pPr>
        <w:jc w:val="both"/>
        <w:rPr>
          <w:rFonts w:cs="Arial"/>
          <w:szCs w:val="22"/>
        </w:rPr>
      </w:pPr>
      <w:r w:rsidRPr="005113BD">
        <w:rPr>
          <w:rFonts w:cs="Arial"/>
          <w:szCs w:val="22"/>
        </w:rPr>
        <w:t>(3) Strehe so ravne ali dvokapnice z naklonom 20°–25°.</w:t>
      </w:r>
    </w:p>
    <w:p w:rsidR="00610BD6" w:rsidRPr="005113BD" w:rsidRDefault="00610BD6" w:rsidP="00610BD6">
      <w:pPr>
        <w:jc w:val="both"/>
        <w:rPr>
          <w:rFonts w:cs="Arial"/>
          <w:szCs w:val="22"/>
        </w:rPr>
      </w:pPr>
      <w:r w:rsidRPr="005113BD">
        <w:rPr>
          <w:rFonts w:cs="Arial"/>
          <w:szCs w:val="22"/>
        </w:rPr>
        <w:t>(4) Nad vhodi v objekte je dopustno izvesti nadstrešnice.</w:t>
      </w:r>
    </w:p>
    <w:p w:rsidR="00610BD6" w:rsidRPr="005113BD" w:rsidRDefault="00610BD6" w:rsidP="00610BD6">
      <w:pPr>
        <w:pStyle w:val="Telobesedila"/>
        <w:jc w:val="both"/>
        <w:rPr>
          <w:rFonts w:cs="Arial"/>
          <w:b w:val="0"/>
          <w:szCs w:val="22"/>
        </w:rPr>
      </w:pPr>
      <w:r w:rsidRPr="005113BD">
        <w:rPr>
          <w:rFonts w:cs="Arial"/>
          <w:b w:val="0"/>
          <w:szCs w:val="22"/>
        </w:rPr>
        <w:t xml:space="preserve">(5) Višinski gabariti stavb so določeni v grafičnem načrtu št. 4.2 "Ureditvena situacija </w:t>
      </w:r>
      <w:r w:rsidRPr="005113BD">
        <w:rPr>
          <w:rFonts w:cs="Arial"/>
          <w:szCs w:val="22"/>
        </w:rPr>
        <w:t xml:space="preserve">– </w:t>
      </w:r>
      <w:r w:rsidRPr="005113BD">
        <w:rPr>
          <w:rFonts w:cs="Arial"/>
          <w:b w:val="0"/>
          <w:szCs w:val="22"/>
        </w:rPr>
        <w:t>strehe in prerezi".</w:t>
      </w:r>
    </w:p>
    <w:p w:rsidR="00610BD6" w:rsidRPr="005113BD" w:rsidRDefault="00610BD6" w:rsidP="00610BD6">
      <w:pPr>
        <w:tabs>
          <w:tab w:val="left" w:pos="7920"/>
        </w:tabs>
        <w:jc w:val="both"/>
        <w:rPr>
          <w:rFonts w:cs="Arial"/>
          <w:szCs w:val="22"/>
        </w:rPr>
      </w:pPr>
    </w:p>
    <w:p w:rsidR="00610BD6" w:rsidRPr="005113BD" w:rsidRDefault="00610BD6" w:rsidP="00610BD6">
      <w:pPr>
        <w:jc w:val="center"/>
        <w:rPr>
          <w:rFonts w:cs="Arial"/>
          <w:bCs/>
          <w:szCs w:val="22"/>
        </w:rPr>
      </w:pPr>
      <w:r w:rsidRPr="005113BD">
        <w:rPr>
          <w:rFonts w:cs="Arial"/>
          <w:bCs/>
          <w:szCs w:val="22"/>
        </w:rPr>
        <w:t>17. člen</w:t>
      </w:r>
    </w:p>
    <w:p w:rsidR="00610BD6" w:rsidRPr="005113BD" w:rsidRDefault="00610BD6" w:rsidP="00610BD6">
      <w:pPr>
        <w:jc w:val="center"/>
        <w:rPr>
          <w:rFonts w:cs="Arial"/>
          <w:bCs/>
          <w:szCs w:val="22"/>
        </w:rPr>
      </w:pPr>
      <w:r w:rsidRPr="005113BD">
        <w:rPr>
          <w:rFonts w:cs="Arial"/>
          <w:bCs/>
          <w:szCs w:val="22"/>
        </w:rPr>
        <w:t>(višinske kote terena)</w:t>
      </w:r>
    </w:p>
    <w:p w:rsidR="00610BD6" w:rsidRPr="005113BD" w:rsidRDefault="00610BD6" w:rsidP="00610BD6">
      <w:pPr>
        <w:ind w:left="426"/>
        <w:jc w:val="both"/>
        <w:rPr>
          <w:szCs w:val="22"/>
        </w:rPr>
      </w:pPr>
    </w:p>
    <w:p w:rsidR="00610BD6" w:rsidRPr="005113BD" w:rsidRDefault="00610BD6" w:rsidP="00610BD6">
      <w:pPr>
        <w:tabs>
          <w:tab w:val="left" w:pos="7920"/>
        </w:tabs>
        <w:jc w:val="both"/>
        <w:rPr>
          <w:rFonts w:cs="Arial"/>
          <w:szCs w:val="22"/>
        </w:rPr>
      </w:pPr>
      <w:r w:rsidRPr="005113BD">
        <w:rPr>
          <w:rFonts w:cs="Arial"/>
          <w:szCs w:val="22"/>
        </w:rPr>
        <w:t>(1) Višinske kote vhodov v objekte se prilagajajo terenu.</w:t>
      </w:r>
    </w:p>
    <w:p w:rsidR="00610BD6" w:rsidRPr="005113BD" w:rsidRDefault="00610BD6" w:rsidP="00610BD6">
      <w:pPr>
        <w:jc w:val="both"/>
        <w:rPr>
          <w:rFonts w:cs="Arial"/>
          <w:szCs w:val="22"/>
        </w:rPr>
      </w:pPr>
      <w:r w:rsidRPr="005113BD">
        <w:rPr>
          <w:rFonts w:cs="Arial"/>
          <w:szCs w:val="22"/>
        </w:rPr>
        <w:t>(2) Višinska kota vhodov v objekte je od 290,70 do 291,65 m n.v.</w:t>
      </w:r>
    </w:p>
    <w:p w:rsidR="00610BD6" w:rsidRPr="005113BD" w:rsidRDefault="00610BD6" w:rsidP="00610BD6">
      <w:pPr>
        <w:tabs>
          <w:tab w:val="left" w:pos="7920"/>
        </w:tabs>
        <w:jc w:val="both"/>
        <w:rPr>
          <w:rFonts w:cs="Arial"/>
          <w:szCs w:val="22"/>
        </w:rPr>
      </w:pPr>
      <w:r w:rsidRPr="005113BD">
        <w:rPr>
          <w:rFonts w:cs="Arial"/>
          <w:szCs w:val="22"/>
        </w:rPr>
        <w:t xml:space="preserve">(3) Zunanja ureditev bo prilagojena terenu in višinskim potekom obodnih cest. </w:t>
      </w:r>
    </w:p>
    <w:p w:rsidR="00610BD6" w:rsidRPr="005113BD" w:rsidRDefault="00610BD6" w:rsidP="00610BD6">
      <w:pPr>
        <w:pStyle w:val="Telobesedila"/>
        <w:jc w:val="both"/>
        <w:rPr>
          <w:rFonts w:cs="Arial"/>
          <w:b w:val="0"/>
          <w:szCs w:val="22"/>
        </w:rPr>
      </w:pPr>
      <w:r w:rsidRPr="005113BD">
        <w:rPr>
          <w:rFonts w:cs="Arial"/>
          <w:b w:val="0"/>
          <w:szCs w:val="22"/>
        </w:rPr>
        <w:t xml:space="preserve">(4) Višinske kote terena so določene v grafičnem načrtu št. 4.4 "Prometno tehnična situacija in idejna višinska regulacija". </w:t>
      </w:r>
    </w:p>
    <w:p w:rsidR="00610BD6" w:rsidRPr="005113BD" w:rsidRDefault="00610BD6" w:rsidP="00610BD6">
      <w:pPr>
        <w:pStyle w:val="Telobesedila"/>
        <w:rPr>
          <w:rFonts w:cs="Arial"/>
          <w:szCs w:val="22"/>
        </w:rPr>
      </w:pPr>
    </w:p>
    <w:p w:rsidR="00610BD6" w:rsidRPr="005113BD" w:rsidRDefault="00610BD6" w:rsidP="00610BD6">
      <w:pPr>
        <w:jc w:val="center"/>
        <w:rPr>
          <w:rFonts w:cs="Arial"/>
          <w:bCs/>
          <w:szCs w:val="22"/>
        </w:rPr>
      </w:pPr>
      <w:r w:rsidRPr="005113BD">
        <w:rPr>
          <w:rFonts w:cs="Arial"/>
          <w:bCs/>
          <w:szCs w:val="22"/>
        </w:rPr>
        <w:t>18. člen</w:t>
      </w:r>
    </w:p>
    <w:p w:rsidR="00610BD6" w:rsidRPr="005113BD" w:rsidRDefault="00610BD6" w:rsidP="00610BD6">
      <w:pPr>
        <w:jc w:val="center"/>
        <w:rPr>
          <w:rFonts w:cs="Arial"/>
          <w:bCs/>
          <w:szCs w:val="22"/>
        </w:rPr>
      </w:pPr>
      <w:r w:rsidRPr="005113BD">
        <w:rPr>
          <w:rFonts w:cs="Arial"/>
          <w:bCs/>
          <w:szCs w:val="22"/>
        </w:rPr>
        <w:t>(zmogljivosti območja)</w:t>
      </w:r>
    </w:p>
    <w:p w:rsidR="00610BD6" w:rsidRPr="005113BD" w:rsidRDefault="00610BD6" w:rsidP="00610BD6">
      <w:pPr>
        <w:jc w:val="both"/>
        <w:rPr>
          <w:rFonts w:cs="Arial"/>
          <w:b/>
          <w:bCs/>
          <w:szCs w:val="22"/>
        </w:rPr>
      </w:pPr>
    </w:p>
    <w:p w:rsidR="00610BD6" w:rsidRPr="005113BD" w:rsidRDefault="00610BD6" w:rsidP="00610BD6">
      <w:pPr>
        <w:pStyle w:val="Telobesedila"/>
        <w:rPr>
          <w:rFonts w:cs="Arial"/>
          <w:b w:val="0"/>
          <w:szCs w:val="22"/>
        </w:rPr>
      </w:pPr>
      <w:r w:rsidRPr="005113BD">
        <w:rPr>
          <w:rFonts w:cs="Arial"/>
          <w:b w:val="0"/>
          <w:szCs w:val="22"/>
        </w:rPr>
        <w:t>(1) Zmogljivost območja:</w:t>
      </w:r>
    </w:p>
    <w:p w:rsidR="00610BD6" w:rsidRPr="005113BD" w:rsidRDefault="00610BD6" w:rsidP="00610BD6">
      <w:pPr>
        <w:numPr>
          <w:ilvl w:val="0"/>
          <w:numId w:val="14"/>
        </w:numPr>
        <w:jc w:val="both"/>
        <w:rPr>
          <w:rFonts w:cs="Arial"/>
          <w:szCs w:val="22"/>
        </w:rPr>
      </w:pPr>
      <w:r w:rsidRPr="005113BD">
        <w:rPr>
          <w:rFonts w:cs="Arial"/>
          <w:szCs w:val="22"/>
        </w:rPr>
        <w:t>površina prostorske enote P1:</w:t>
      </w:r>
      <w:r w:rsidRPr="005113BD">
        <w:rPr>
          <w:rFonts w:cs="Arial"/>
          <w:szCs w:val="22"/>
        </w:rPr>
        <w:tab/>
      </w:r>
      <w:r w:rsidRPr="005113BD">
        <w:rPr>
          <w:rFonts w:cs="Arial"/>
          <w:szCs w:val="22"/>
        </w:rPr>
        <w:tab/>
      </w:r>
      <w:r w:rsidRPr="005113BD">
        <w:rPr>
          <w:rFonts w:cs="Arial"/>
          <w:szCs w:val="22"/>
        </w:rPr>
        <w:tab/>
      </w:r>
      <w:r w:rsidRPr="005113BD">
        <w:rPr>
          <w:rFonts w:cs="Arial"/>
          <w:szCs w:val="22"/>
        </w:rPr>
        <w:tab/>
        <w:t>8.072 m</w:t>
      </w:r>
      <w:r w:rsidRPr="005113BD">
        <w:rPr>
          <w:rFonts w:cs="Arial"/>
          <w:szCs w:val="22"/>
          <w:vertAlign w:val="superscript"/>
        </w:rPr>
        <w:t>2</w:t>
      </w:r>
      <w:r w:rsidRPr="005113BD">
        <w:rPr>
          <w:rFonts w:cs="Arial"/>
          <w:szCs w:val="22"/>
        </w:rPr>
        <w:t xml:space="preserve"> </w:t>
      </w:r>
    </w:p>
    <w:p w:rsidR="00610BD6" w:rsidRPr="005113BD" w:rsidRDefault="00610BD6" w:rsidP="00610BD6">
      <w:pPr>
        <w:numPr>
          <w:ilvl w:val="0"/>
          <w:numId w:val="14"/>
        </w:numPr>
        <w:jc w:val="both"/>
        <w:rPr>
          <w:rFonts w:cs="Arial"/>
          <w:szCs w:val="22"/>
        </w:rPr>
      </w:pPr>
      <w:r w:rsidRPr="005113BD">
        <w:rPr>
          <w:rFonts w:cs="Arial"/>
          <w:szCs w:val="22"/>
        </w:rPr>
        <w:t>BTP nad nivojem terena v prostorski enoti P1:</w:t>
      </w:r>
      <w:r w:rsidRPr="005113BD">
        <w:rPr>
          <w:rFonts w:cs="Arial"/>
          <w:szCs w:val="22"/>
        </w:rPr>
        <w:tab/>
      </w:r>
      <w:r w:rsidRPr="005113BD">
        <w:rPr>
          <w:rFonts w:cs="Arial"/>
          <w:szCs w:val="22"/>
        </w:rPr>
        <w:tab/>
        <w:t>do 2.500 m</w:t>
      </w:r>
      <w:r w:rsidRPr="005113BD">
        <w:rPr>
          <w:rFonts w:cs="Arial"/>
          <w:szCs w:val="22"/>
          <w:vertAlign w:val="superscript"/>
        </w:rPr>
        <w:t>2</w:t>
      </w:r>
    </w:p>
    <w:p w:rsidR="00610BD6" w:rsidRPr="005113BD" w:rsidRDefault="00610BD6" w:rsidP="00610BD6">
      <w:pPr>
        <w:numPr>
          <w:ilvl w:val="0"/>
          <w:numId w:val="14"/>
        </w:numPr>
        <w:jc w:val="both"/>
        <w:rPr>
          <w:rFonts w:cs="Arial"/>
          <w:szCs w:val="22"/>
        </w:rPr>
      </w:pPr>
      <w:r w:rsidRPr="005113BD">
        <w:rPr>
          <w:rFonts w:cs="Arial"/>
          <w:szCs w:val="22"/>
        </w:rPr>
        <w:t>površina prostorske enote P2:</w:t>
      </w:r>
      <w:r w:rsidRPr="005113BD">
        <w:rPr>
          <w:rFonts w:cs="Arial"/>
          <w:szCs w:val="22"/>
        </w:rPr>
        <w:tab/>
      </w:r>
      <w:r w:rsidRPr="005113BD">
        <w:rPr>
          <w:rFonts w:cs="Arial"/>
          <w:szCs w:val="22"/>
        </w:rPr>
        <w:tab/>
      </w:r>
      <w:r w:rsidRPr="005113BD">
        <w:rPr>
          <w:rFonts w:cs="Arial"/>
          <w:szCs w:val="22"/>
        </w:rPr>
        <w:tab/>
      </w:r>
      <w:r w:rsidRPr="005113BD">
        <w:rPr>
          <w:rFonts w:cs="Arial"/>
          <w:szCs w:val="22"/>
        </w:rPr>
        <w:tab/>
        <w:t>16.576 m</w:t>
      </w:r>
      <w:r w:rsidRPr="005113BD">
        <w:rPr>
          <w:rFonts w:cs="Arial"/>
          <w:szCs w:val="22"/>
          <w:vertAlign w:val="superscript"/>
        </w:rPr>
        <w:t>2</w:t>
      </w:r>
      <w:r w:rsidRPr="005113BD">
        <w:rPr>
          <w:rFonts w:cs="Arial"/>
          <w:szCs w:val="22"/>
        </w:rPr>
        <w:t xml:space="preserve"> </w:t>
      </w:r>
    </w:p>
    <w:p w:rsidR="00610BD6" w:rsidRPr="005113BD" w:rsidRDefault="00610BD6" w:rsidP="00610BD6">
      <w:pPr>
        <w:numPr>
          <w:ilvl w:val="0"/>
          <w:numId w:val="14"/>
        </w:numPr>
        <w:jc w:val="both"/>
        <w:rPr>
          <w:rFonts w:cs="Arial"/>
          <w:szCs w:val="22"/>
        </w:rPr>
      </w:pPr>
      <w:r w:rsidRPr="005113BD">
        <w:rPr>
          <w:rFonts w:cs="Arial"/>
          <w:szCs w:val="22"/>
        </w:rPr>
        <w:t>BTP nad nivojem terena v prostorski enoti P2:</w:t>
      </w:r>
      <w:r w:rsidRPr="005113BD">
        <w:rPr>
          <w:rFonts w:cs="Arial"/>
          <w:szCs w:val="22"/>
        </w:rPr>
        <w:tab/>
      </w:r>
      <w:r w:rsidRPr="005113BD">
        <w:rPr>
          <w:rFonts w:cs="Arial"/>
          <w:szCs w:val="22"/>
        </w:rPr>
        <w:tab/>
        <w:t>do 7.000 m</w:t>
      </w:r>
      <w:r w:rsidRPr="005113BD">
        <w:rPr>
          <w:rFonts w:cs="Arial"/>
          <w:szCs w:val="22"/>
          <w:vertAlign w:val="superscript"/>
        </w:rPr>
        <w:t>2</w:t>
      </w:r>
    </w:p>
    <w:p w:rsidR="00610BD6" w:rsidRPr="005113BD" w:rsidRDefault="00610BD6" w:rsidP="00610BD6">
      <w:pPr>
        <w:numPr>
          <w:ilvl w:val="0"/>
          <w:numId w:val="14"/>
        </w:numPr>
        <w:jc w:val="both"/>
        <w:rPr>
          <w:rFonts w:cs="Arial"/>
          <w:szCs w:val="22"/>
        </w:rPr>
      </w:pPr>
      <w:r w:rsidRPr="005113BD">
        <w:rPr>
          <w:rFonts w:cs="Arial"/>
          <w:szCs w:val="22"/>
        </w:rPr>
        <w:t>površina prostorske enote P3:</w:t>
      </w:r>
      <w:r w:rsidRPr="005113BD">
        <w:rPr>
          <w:rFonts w:cs="Arial"/>
          <w:szCs w:val="22"/>
        </w:rPr>
        <w:tab/>
      </w:r>
      <w:r w:rsidRPr="005113BD">
        <w:rPr>
          <w:rFonts w:cs="Arial"/>
          <w:szCs w:val="22"/>
        </w:rPr>
        <w:tab/>
      </w:r>
      <w:r w:rsidRPr="005113BD">
        <w:rPr>
          <w:rFonts w:cs="Arial"/>
          <w:szCs w:val="22"/>
        </w:rPr>
        <w:tab/>
      </w:r>
      <w:r w:rsidRPr="005113BD">
        <w:rPr>
          <w:rFonts w:cs="Arial"/>
          <w:szCs w:val="22"/>
        </w:rPr>
        <w:tab/>
        <w:t>14.662 m</w:t>
      </w:r>
      <w:r w:rsidRPr="005113BD">
        <w:rPr>
          <w:rFonts w:cs="Arial"/>
          <w:szCs w:val="22"/>
          <w:vertAlign w:val="superscript"/>
        </w:rPr>
        <w:t>2</w:t>
      </w:r>
      <w:r w:rsidRPr="005113BD">
        <w:rPr>
          <w:rFonts w:cs="Arial"/>
          <w:szCs w:val="22"/>
        </w:rPr>
        <w:t xml:space="preserve"> </w:t>
      </w:r>
    </w:p>
    <w:p w:rsidR="00610BD6" w:rsidRPr="005113BD" w:rsidRDefault="00610BD6" w:rsidP="00610BD6">
      <w:pPr>
        <w:numPr>
          <w:ilvl w:val="0"/>
          <w:numId w:val="14"/>
        </w:numPr>
        <w:jc w:val="both"/>
        <w:rPr>
          <w:rFonts w:cs="Arial"/>
          <w:szCs w:val="22"/>
        </w:rPr>
      </w:pPr>
      <w:r w:rsidRPr="005113BD">
        <w:rPr>
          <w:rFonts w:cs="Arial"/>
          <w:szCs w:val="22"/>
        </w:rPr>
        <w:t>BTP nad nivojem terena v prostorski enoti P3:</w:t>
      </w:r>
      <w:r w:rsidRPr="005113BD">
        <w:rPr>
          <w:rFonts w:cs="Arial"/>
          <w:szCs w:val="22"/>
        </w:rPr>
        <w:tab/>
      </w:r>
      <w:r w:rsidRPr="005113BD">
        <w:rPr>
          <w:rFonts w:cs="Arial"/>
          <w:szCs w:val="22"/>
        </w:rPr>
        <w:tab/>
        <w:t>do 9.500 m</w:t>
      </w:r>
      <w:r w:rsidRPr="005113BD">
        <w:rPr>
          <w:rFonts w:cs="Arial"/>
          <w:szCs w:val="22"/>
          <w:vertAlign w:val="superscript"/>
        </w:rPr>
        <w:t>2</w:t>
      </w:r>
    </w:p>
    <w:p w:rsidR="00610BD6" w:rsidRPr="005113BD" w:rsidRDefault="00610BD6" w:rsidP="00610BD6">
      <w:pPr>
        <w:tabs>
          <w:tab w:val="left" w:pos="0"/>
          <w:tab w:val="left" w:pos="7797"/>
        </w:tabs>
        <w:jc w:val="both"/>
        <w:rPr>
          <w:rFonts w:cs="Arial"/>
          <w:szCs w:val="22"/>
        </w:rPr>
      </w:pPr>
      <w:r w:rsidRPr="005113BD">
        <w:rPr>
          <w:rFonts w:cs="Arial"/>
          <w:szCs w:val="22"/>
        </w:rPr>
        <w:t>(2) Bruto tlorisna površina (BTP) objekta nad nivojem terena je skupna površina vseh tlorisnih etaž objekta nad nivojem terena brez tlorisnih površin, ki so obdane z elementi, kot so npr. parapeti, venci, ograje in niso pokrite.</w:t>
      </w:r>
    </w:p>
    <w:p w:rsidR="00610BD6" w:rsidRPr="005113BD" w:rsidRDefault="00610BD6" w:rsidP="00610BD6">
      <w:pPr>
        <w:tabs>
          <w:tab w:val="left" w:pos="0"/>
          <w:tab w:val="left" w:pos="7797"/>
        </w:tabs>
        <w:jc w:val="both"/>
        <w:rPr>
          <w:rFonts w:cs="Arial"/>
          <w:szCs w:val="22"/>
        </w:rPr>
      </w:pPr>
    </w:p>
    <w:p w:rsidR="00610BD6" w:rsidRPr="005113BD" w:rsidRDefault="00610BD6" w:rsidP="00610BD6">
      <w:pPr>
        <w:jc w:val="center"/>
        <w:rPr>
          <w:rFonts w:cs="Arial"/>
          <w:b/>
          <w:bCs/>
          <w:szCs w:val="22"/>
        </w:rPr>
      </w:pPr>
    </w:p>
    <w:p w:rsidR="00610BD6" w:rsidRPr="005113BD" w:rsidRDefault="00610BD6" w:rsidP="00610BD6">
      <w:pPr>
        <w:rPr>
          <w:rFonts w:cs="Arial"/>
          <w:bCs/>
          <w:szCs w:val="22"/>
        </w:rPr>
      </w:pPr>
      <w:r w:rsidRPr="005113BD">
        <w:rPr>
          <w:rFonts w:cs="Arial"/>
          <w:bCs/>
          <w:szCs w:val="22"/>
        </w:rPr>
        <w:t>IV. NAČRT PARCELACIJE</w:t>
      </w:r>
    </w:p>
    <w:p w:rsidR="00610BD6" w:rsidRPr="005113BD" w:rsidRDefault="00610BD6" w:rsidP="00610BD6">
      <w:pPr>
        <w:jc w:val="center"/>
        <w:rPr>
          <w:rFonts w:cs="Arial"/>
          <w:bCs/>
          <w:szCs w:val="22"/>
        </w:rPr>
      </w:pPr>
    </w:p>
    <w:p w:rsidR="00610BD6" w:rsidRPr="005113BD" w:rsidRDefault="00610BD6" w:rsidP="00610BD6">
      <w:pPr>
        <w:jc w:val="center"/>
        <w:rPr>
          <w:rFonts w:cs="Arial"/>
          <w:bCs/>
          <w:szCs w:val="22"/>
        </w:rPr>
      </w:pPr>
      <w:r w:rsidRPr="005113BD">
        <w:rPr>
          <w:rFonts w:cs="Arial"/>
          <w:bCs/>
          <w:szCs w:val="22"/>
        </w:rPr>
        <w:t>19. člen</w:t>
      </w:r>
    </w:p>
    <w:p w:rsidR="00610BD6" w:rsidRPr="005113BD" w:rsidRDefault="00610BD6" w:rsidP="00610BD6">
      <w:pPr>
        <w:jc w:val="center"/>
        <w:rPr>
          <w:rFonts w:cs="Arial"/>
          <w:bCs/>
          <w:szCs w:val="22"/>
        </w:rPr>
      </w:pPr>
      <w:r w:rsidRPr="005113BD">
        <w:rPr>
          <w:rFonts w:cs="Arial"/>
          <w:bCs/>
          <w:szCs w:val="22"/>
        </w:rPr>
        <w:t>(načrt parcelacije)</w:t>
      </w:r>
    </w:p>
    <w:p w:rsidR="00610BD6" w:rsidRPr="005113BD" w:rsidRDefault="00610BD6" w:rsidP="00610BD6">
      <w:pPr>
        <w:jc w:val="center"/>
        <w:rPr>
          <w:rFonts w:cs="Arial"/>
          <w:b/>
          <w:bCs/>
          <w:szCs w:val="22"/>
        </w:rPr>
      </w:pPr>
    </w:p>
    <w:p w:rsidR="00610BD6" w:rsidRPr="005113BD" w:rsidRDefault="00610BD6" w:rsidP="00610BD6">
      <w:pPr>
        <w:tabs>
          <w:tab w:val="left" w:pos="426"/>
        </w:tabs>
        <w:jc w:val="both"/>
        <w:rPr>
          <w:rFonts w:cs="Arial"/>
          <w:szCs w:val="22"/>
        </w:rPr>
      </w:pPr>
      <w:r w:rsidRPr="005113BD">
        <w:rPr>
          <w:rFonts w:cs="Arial"/>
          <w:szCs w:val="22"/>
        </w:rPr>
        <w:t>(1) V območju OPPN so naslednje parcele in površine:</w:t>
      </w:r>
    </w:p>
    <w:p w:rsidR="00610BD6" w:rsidRPr="005113BD" w:rsidRDefault="00610BD6" w:rsidP="00610BD6">
      <w:pPr>
        <w:numPr>
          <w:ilvl w:val="0"/>
          <w:numId w:val="14"/>
        </w:numPr>
        <w:jc w:val="both"/>
        <w:rPr>
          <w:rFonts w:cs="Arial"/>
          <w:szCs w:val="22"/>
        </w:rPr>
      </w:pPr>
      <w:r w:rsidRPr="005113BD">
        <w:rPr>
          <w:rFonts w:cs="Arial"/>
          <w:szCs w:val="22"/>
        </w:rPr>
        <w:t xml:space="preserve">P1 – parcela, namenjena gradnji </w:t>
      </w:r>
      <w:proofErr w:type="spellStart"/>
      <w:r w:rsidRPr="005113BD">
        <w:rPr>
          <w:rFonts w:cs="Arial"/>
          <w:szCs w:val="22"/>
        </w:rPr>
        <w:t>gradnji</w:t>
      </w:r>
      <w:proofErr w:type="spellEnd"/>
      <w:r w:rsidRPr="005113BD">
        <w:rPr>
          <w:rFonts w:cs="Arial"/>
          <w:szCs w:val="22"/>
        </w:rPr>
        <w:t xml:space="preserve"> industrijske hale ob Poti na Tojnice ter izvedbi zunanjih in parkirnih površin, ki meri 8.072 m</w:t>
      </w:r>
      <w:r w:rsidRPr="005113BD">
        <w:rPr>
          <w:rFonts w:cs="Arial"/>
          <w:szCs w:val="22"/>
          <w:vertAlign w:val="superscript"/>
        </w:rPr>
        <w:t>2</w:t>
      </w:r>
      <w:r w:rsidRPr="005113BD">
        <w:rPr>
          <w:rFonts w:cs="Arial"/>
          <w:szCs w:val="22"/>
        </w:rPr>
        <w:t xml:space="preserve"> in obsega zemljišča s </w:t>
      </w:r>
      <w:proofErr w:type="spellStart"/>
      <w:r w:rsidRPr="005113BD">
        <w:rPr>
          <w:rFonts w:cs="Arial"/>
          <w:szCs w:val="22"/>
        </w:rPr>
        <w:t>parc</w:t>
      </w:r>
      <w:proofErr w:type="spellEnd"/>
      <w:r w:rsidRPr="005113BD">
        <w:rPr>
          <w:rFonts w:cs="Arial"/>
          <w:szCs w:val="22"/>
        </w:rPr>
        <w:t xml:space="preserve">. št.: 2719/9 (del), 2719/1 (del), in 2740/8 (del), vsa k. o. Vrhnika; </w:t>
      </w:r>
    </w:p>
    <w:p w:rsidR="00610BD6" w:rsidRPr="005113BD" w:rsidRDefault="00610BD6" w:rsidP="00610BD6">
      <w:pPr>
        <w:numPr>
          <w:ilvl w:val="0"/>
          <w:numId w:val="14"/>
        </w:numPr>
        <w:jc w:val="both"/>
        <w:rPr>
          <w:rFonts w:cs="Arial"/>
          <w:szCs w:val="22"/>
        </w:rPr>
      </w:pPr>
      <w:r w:rsidRPr="005113BD">
        <w:rPr>
          <w:rFonts w:cs="Arial"/>
          <w:szCs w:val="22"/>
        </w:rPr>
        <w:t>P2 – parcela, namenjena gradnji petih industrijskih hal vzdolž avtoceste ter izvedbi zunanjih in parkirnih površin, ki meri 16.576 m</w:t>
      </w:r>
      <w:r w:rsidRPr="005113BD">
        <w:rPr>
          <w:rFonts w:cs="Arial"/>
          <w:szCs w:val="22"/>
          <w:vertAlign w:val="superscript"/>
        </w:rPr>
        <w:t>2</w:t>
      </w:r>
      <w:r w:rsidRPr="005113BD">
        <w:rPr>
          <w:rFonts w:cs="Arial"/>
          <w:szCs w:val="22"/>
        </w:rPr>
        <w:t xml:space="preserve"> in obsega zemljišča s </w:t>
      </w:r>
      <w:proofErr w:type="spellStart"/>
      <w:r w:rsidRPr="005113BD">
        <w:rPr>
          <w:rFonts w:cs="Arial"/>
          <w:szCs w:val="22"/>
        </w:rPr>
        <w:t>parc</w:t>
      </w:r>
      <w:proofErr w:type="spellEnd"/>
      <w:r w:rsidRPr="005113BD">
        <w:rPr>
          <w:rFonts w:cs="Arial"/>
          <w:szCs w:val="22"/>
        </w:rPr>
        <w:t xml:space="preserve">. št.: 2719/9 (del), 2719/1, 2719/5 (del) in 2740/8 (del), vsa k. o. Vrhnika; </w:t>
      </w:r>
    </w:p>
    <w:p w:rsidR="00610BD6" w:rsidRPr="005113BD" w:rsidRDefault="00610BD6" w:rsidP="00610BD6">
      <w:pPr>
        <w:numPr>
          <w:ilvl w:val="0"/>
          <w:numId w:val="14"/>
        </w:numPr>
        <w:jc w:val="both"/>
        <w:rPr>
          <w:rFonts w:cs="Arial"/>
          <w:szCs w:val="22"/>
        </w:rPr>
      </w:pPr>
      <w:r w:rsidRPr="005113BD">
        <w:rPr>
          <w:rFonts w:cs="Arial"/>
          <w:szCs w:val="22"/>
        </w:rPr>
        <w:lastRenderedPageBreak/>
        <w:t>P3 – parcela, namenjena gradnji petih industrijskih hal ob čistilni napravi Vrhnika ter izvedbi zunanjih in parkirnih površin, ki meri 14.662 m</w:t>
      </w:r>
      <w:r w:rsidRPr="005113BD">
        <w:rPr>
          <w:rFonts w:cs="Arial"/>
          <w:szCs w:val="22"/>
          <w:vertAlign w:val="superscript"/>
        </w:rPr>
        <w:t>2</w:t>
      </w:r>
      <w:r w:rsidRPr="005113BD">
        <w:rPr>
          <w:rFonts w:cs="Arial"/>
          <w:szCs w:val="22"/>
        </w:rPr>
        <w:t xml:space="preserve"> in obsega zemljišča s </w:t>
      </w:r>
      <w:proofErr w:type="spellStart"/>
      <w:r w:rsidRPr="005113BD">
        <w:rPr>
          <w:rFonts w:cs="Arial"/>
          <w:szCs w:val="22"/>
        </w:rPr>
        <w:t>parc</w:t>
      </w:r>
      <w:proofErr w:type="spellEnd"/>
      <w:r w:rsidRPr="005113BD">
        <w:rPr>
          <w:rFonts w:cs="Arial"/>
          <w:szCs w:val="22"/>
        </w:rPr>
        <w:t xml:space="preserve">. št.: 2719/9 (del), 2719/10 (del), 2719/1 in 2719/5 (del), vsa k. o. Vrhnika; </w:t>
      </w:r>
    </w:p>
    <w:p w:rsidR="00610BD6" w:rsidRPr="005113BD" w:rsidRDefault="00610BD6" w:rsidP="00610BD6">
      <w:pPr>
        <w:numPr>
          <w:ilvl w:val="0"/>
          <w:numId w:val="14"/>
        </w:numPr>
        <w:jc w:val="both"/>
        <w:rPr>
          <w:rFonts w:cs="Arial"/>
          <w:szCs w:val="22"/>
        </w:rPr>
      </w:pPr>
      <w:r w:rsidRPr="005113BD">
        <w:rPr>
          <w:rFonts w:cs="Arial"/>
          <w:szCs w:val="22"/>
        </w:rPr>
        <w:t>C1 - površina namenjena gradnji dovozne ceste, ki meri 2.120 m</w:t>
      </w:r>
      <w:r w:rsidRPr="005113BD">
        <w:rPr>
          <w:rFonts w:cs="Arial"/>
          <w:szCs w:val="22"/>
          <w:vertAlign w:val="superscript"/>
        </w:rPr>
        <w:t>2</w:t>
      </w:r>
      <w:r w:rsidRPr="005113BD">
        <w:rPr>
          <w:rFonts w:cs="Arial"/>
          <w:szCs w:val="22"/>
        </w:rPr>
        <w:t xml:space="preserve"> in obsega zemljišča s </w:t>
      </w:r>
      <w:proofErr w:type="spellStart"/>
      <w:r w:rsidRPr="005113BD">
        <w:rPr>
          <w:rFonts w:cs="Arial"/>
          <w:szCs w:val="22"/>
        </w:rPr>
        <w:t>parc</w:t>
      </w:r>
      <w:proofErr w:type="spellEnd"/>
      <w:r w:rsidRPr="005113BD">
        <w:rPr>
          <w:rFonts w:cs="Arial"/>
          <w:szCs w:val="22"/>
        </w:rPr>
        <w:t>. št.: 2719/9 (del), 2719/1 in 2719/5 (del), vsa k. o. Vrhnika;</w:t>
      </w:r>
    </w:p>
    <w:p w:rsidR="00610BD6" w:rsidRPr="005113BD" w:rsidRDefault="00610BD6" w:rsidP="00610BD6">
      <w:pPr>
        <w:pStyle w:val="Telobesedila"/>
        <w:jc w:val="both"/>
        <w:rPr>
          <w:rFonts w:cs="Arial"/>
          <w:b w:val="0"/>
          <w:szCs w:val="22"/>
        </w:rPr>
      </w:pPr>
      <w:r w:rsidRPr="005113BD">
        <w:rPr>
          <w:rFonts w:cs="Arial"/>
          <w:b w:val="0"/>
          <w:szCs w:val="22"/>
        </w:rPr>
        <w:t>(2) Mejne točke parcel, namenjenih gradnji objektov, so opredeljene po Gauss</w:t>
      </w:r>
      <w:r w:rsidRPr="005113BD">
        <w:rPr>
          <w:rFonts w:cs="Arial"/>
          <w:szCs w:val="22"/>
        </w:rPr>
        <w:t>-</w:t>
      </w:r>
      <w:proofErr w:type="spellStart"/>
      <w:r w:rsidRPr="005113BD">
        <w:rPr>
          <w:rFonts w:cs="Arial"/>
          <w:b w:val="0"/>
          <w:szCs w:val="22"/>
        </w:rPr>
        <w:t>Kruegerjevem</w:t>
      </w:r>
      <w:proofErr w:type="spellEnd"/>
      <w:r w:rsidRPr="005113BD">
        <w:rPr>
          <w:rFonts w:cs="Arial"/>
          <w:b w:val="0"/>
          <w:szCs w:val="22"/>
        </w:rPr>
        <w:t xml:space="preserve"> koordinatnem sistemu.</w:t>
      </w:r>
    </w:p>
    <w:p w:rsidR="00610BD6" w:rsidRPr="005113BD" w:rsidRDefault="00610BD6" w:rsidP="00610BD6">
      <w:pPr>
        <w:jc w:val="both"/>
        <w:rPr>
          <w:rFonts w:cs="Arial"/>
          <w:szCs w:val="22"/>
        </w:rPr>
      </w:pPr>
      <w:r w:rsidRPr="005113BD">
        <w:rPr>
          <w:rFonts w:cs="Arial"/>
          <w:szCs w:val="22"/>
        </w:rPr>
        <w:t xml:space="preserve">(3) Parcelacija zemljišč in </w:t>
      </w:r>
      <w:proofErr w:type="spellStart"/>
      <w:r w:rsidRPr="005113BD">
        <w:rPr>
          <w:rFonts w:cs="Arial"/>
          <w:szCs w:val="22"/>
        </w:rPr>
        <w:t>geokoordinate</w:t>
      </w:r>
      <w:proofErr w:type="spellEnd"/>
      <w:r w:rsidRPr="005113BD">
        <w:rPr>
          <w:rFonts w:cs="Arial"/>
          <w:szCs w:val="22"/>
        </w:rPr>
        <w:t xml:space="preserve"> točk parcelacije so določene v grafičnih načrtih št. 3.3. »Načrt obodne parcelacije, parcelacije zemljišč in </w:t>
      </w:r>
      <w:proofErr w:type="spellStart"/>
      <w:r w:rsidRPr="005113BD">
        <w:rPr>
          <w:rFonts w:cs="Arial"/>
          <w:szCs w:val="22"/>
        </w:rPr>
        <w:t>zakoličbe</w:t>
      </w:r>
      <w:proofErr w:type="spellEnd"/>
      <w:r w:rsidRPr="005113BD">
        <w:rPr>
          <w:rFonts w:cs="Arial"/>
          <w:szCs w:val="22"/>
        </w:rPr>
        <w:t xml:space="preserve"> objektov na katastrskem načrtu« in št. 3.4. »Načrt obodne parcelacije, parcelacije zemljišč in </w:t>
      </w:r>
      <w:proofErr w:type="spellStart"/>
      <w:r w:rsidRPr="005113BD">
        <w:rPr>
          <w:rFonts w:cs="Arial"/>
          <w:szCs w:val="22"/>
        </w:rPr>
        <w:t>zakoličbe</w:t>
      </w:r>
      <w:proofErr w:type="spellEnd"/>
      <w:r w:rsidRPr="005113BD">
        <w:rPr>
          <w:rFonts w:cs="Arial"/>
          <w:szCs w:val="22"/>
        </w:rPr>
        <w:t xml:space="preserve"> objektov na geodetskem načrtu«. </w:t>
      </w: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t>20. člen</w:t>
      </w:r>
    </w:p>
    <w:p w:rsidR="00610BD6" w:rsidRPr="005113BD" w:rsidRDefault="00610BD6" w:rsidP="00610BD6">
      <w:pPr>
        <w:jc w:val="center"/>
        <w:rPr>
          <w:rFonts w:cs="Arial"/>
          <w:bCs/>
          <w:szCs w:val="22"/>
        </w:rPr>
      </w:pPr>
      <w:r w:rsidRPr="005113BD">
        <w:rPr>
          <w:rFonts w:cs="Arial"/>
          <w:bCs/>
          <w:szCs w:val="22"/>
        </w:rPr>
        <w:t xml:space="preserve">(površine, namenjene javnemu </w:t>
      </w:r>
      <w:proofErr w:type="spellStart"/>
      <w:r w:rsidRPr="005113BD">
        <w:rPr>
          <w:rFonts w:cs="Arial"/>
          <w:bCs/>
          <w:szCs w:val="22"/>
        </w:rPr>
        <w:t>dobru</w:t>
      </w:r>
      <w:proofErr w:type="spellEnd"/>
      <w:r w:rsidRPr="005113BD">
        <w:rPr>
          <w:rFonts w:cs="Arial"/>
          <w:bCs/>
          <w:szCs w:val="22"/>
        </w:rPr>
        <w:t>)</w:t>
      </w:r>
    </w:p>
    <w:p w:rsidR="00610BD6" w:rsidRPr="005113BD" w:rsidRDefault="00610BD6" w:rsidP="00610BD6">
      <w:pPr>
        <w:jc w:val="both"/>
        <w:rPr>
          <w:rFonts w:cs="Arial"/>
          <w:szCs w:val="22"/>
        </w:rPr>
      </w:pPr>
    </w:p>
    <w:p w:rsidR="00610BD6" w:rsidRPr="005113BD" w:rsidRDefault="00610BD6" w:rsidP="00610BD6">
      <w:pPr>
        <w:tabs>
          <w:tab w:val="left" w:pos="284"/>
        </w:tabs>
        <w:jc w:val="both"/>
        <w:rPr>
          <w:rFonts w:cs="Arial"/>
          <w:szCs w:val="22"/>
        </w:rPr>
      </w:pPr>
      <w:r w:rsidRPr="005113BD">
        <w:rPr>
          <w:rFonts w:cs="Arial"/>
          <w:szCs w:val="22"/>
        </w:rPr>
        <w:t>Na območju OPPN ni površin, namenjenih javnemu dobremu.</w:t>
      </w:r>
    </w:p>
    <w:p w:rsidR="00610BD6" w:rsidRPr="005113BD" w:rsidRDefault="00610BD6" w:rsidP="00610BD6">
      <w:pPr>
        <w:rPr>
          <w:rFonts w:cs="Arial"/>
          <w:b/>
          <w:bCs/>
          <w:szCs w:val="22"/>
        </w:rPr>
      </w:pPr>
    </w:p>
    <w:p w:rsidR="00610BD6" w:rsidRPr="005113BD" w:rsidRDefault="00610BD6" w:rsidP="00610BD6">
      <w:pPr>
        <w:rPr>
          <w:rFonts w:cs="Arial"/>
          <w:b/>
          <w:bCs/>
          <w:szCs w:val="22"/>
        </w:rPr>
      </w:pPr>
    </w:p>
    <w:p w:rsidR="00610BD6" w:rsidRPr="005113BD" w:rsidRDefault="00610BD6" w:rsidP="00610BD6">
      <w:pPr>
        <w:rPr>
          <w:rFonts w:cs="Arial"/>
          <w:bCs/>
          <w:szCs w:val="22"/>
        </w:rPr>
      </w:pPr>
      <w:r w:rsidRPr="005113BD">
        <w:rPr>
          <w:rFonts w:cs="Arial"/>
          <w:bCs/>
          <w:szCs w:val="22"/>
        </w:rPr>
        <w:t xml:space="preserve">V. ETAPNOST IZVEDBE PROSTORSKE UREDITVE </w:t>
      </w:r>
    </w:p>
    <w:p w:rsidR="00610BD6" w:rsidRPr="005113BD" w:rsidRDefault="00610BD6" w:rsidP="00610BD6">
      <w:pPr>
        <w:jc w:val="both"/>
        <w:rPr>
          <w:bCs/>
          <w:szCs w:val="22"/>
        </w:rPr>
      </w:pPr>
    </w:p>
    <w:p w:rsidR="00610BD6" w:rsidRPr="005113BD" w:rsidRDefault="00610BD6" w:rsidP="00610BD6">
      <w:pPr>
        <w:jc w:val="center"/>
        <w:rPr>
          <w:rFonts w:cs="Arial"/>
          <w:bCs/>
          <w:szCs w:val="22"/>
        </w:rPr>
      </w:pPr>
      <w:r w:rsidRPr="005113BD">
        <w:rPr>
          <w:rFonts w:cs="Arial"/>
          <w:bCs/>
          <w:szCs w:val="22"/>
        </w:rPr>
        <w:t>21. člen</w:t>
      </w:r>
    </w:p>
    <w:p w:rsidR="00610BD6" w:rsidRPr="005113BD" w:rsidRDefault="00610BD6" w:rsidP="00610BD6">
      <w:pPr>
        <w:jc w:val="center"/>
        <w:rPr>
          <w:rFonts w:cs="Arial"/>
          <w:bCs/>
          <w:szCs w:val="22"/>
        </w:rPr>
      </w:pPr>
      <w:r w:rsidRPr="005113BD">
        <w:rPr>
          <w:rFonts w:cs="Arial"/>
          <w:bCs/>
          <w:szCs w:val="22"/>
        </w:rPr>
        <w:t>(etapnost gradnje)</w:t>
      </w:r>
    </w:p>
    <w:p w:rsidR="00610BD6" w:rsidRPr="005113BD" w:rsidRDefault="00610BD6" w:rsidP="00610BD6">
      <w:pPr>
        <w:jc w:val="both"/>
        <w:rPr>
          <w:szCs w:val="22"/>
        </w:rPr>
      </w:pPr>
    </w:p>
    <w:p w:rsidR="00610BD6" w:rsidRPr="005113BD" w:rsidRDefault="00610BD6" w:rsidP="00610BD6">
      <w:pPr>
        <w:jc w:val="both"/>
        <w:rPr>
          <w:rFonts w:cs="Arial"/>
          <w:szCs w:val="22"/>
        </w:rPr>
      </w:pPr>
      <w:r w:rsidRPr="005113BD">
        <w:rPr>
          <w:rFonts w:cs="Arial"/>
          <w:szCs w:val="22"/>
        </w:rPr>
        <w:t xml:space="preserve">(1) Pred začetkom gradnje z gradnjo predvidenih objektov je potrebno izvesti novo cesto Pot na Tojnice, ki predstavlja protipoplavni ukrep za gradnjo v območju OPPN in omilitveni ukrep (nadomestno </w:t>
      </w:r>
      <w:proofErr w:type="spellStart"/>
      <w:r w:rsidRPr="005113BD">
        <w:rPr>
          <w:rFonts w:cs="Arial"/>
          <w:szCs w:val="22"/>
        </w:rPr>
        <w:t>retenzijsko</w:t>
      </w:r>
      <w:proofErr w:type="spellEnd"/>
      <w:r w:rsidRPr="005113BD">
        <w:rPr>
          <w:rFonts w:cs="Arial"/>
          <w:szCs w:val="22"/>
        </w:rPr>
        <w:t xml:space="preserve"> površino) na delu </w:t>
      </w:r>
      <w:proofErr w:type="spellStart"/>
      <w:r w:rsidRPr="005113BD">
        <w:rPr>
          <w:rFonts w:cs="Arial"/>
          <w:szCs w:val="22"/>
        </w:rPr>
        <w:t>zemlj</w:t>
      </w:r>
      <w:proofErr w:type="spellEnd"/>
      <w:r w:rsidRPr="005113BD">
        <w:rPr>
          <w:rFonts w:cs="Arial"/>
          <w:szCs w:val="22"/>
        </w:rPr>
        <w:t xml:space="preserve">. </w:t>
      </w:r>
      <w:proofErr w:type="spellStart"/>
      <w:r w:rsidRPr="005113BD">
        <w:rPr>
          <w:rFonts w:cs="Arial"/>
          <w:szCs w:val="22"/>
        </w:rPr>
        <w:t>parc</w:t>
      </w:r>
      <w:proofErr w:type="spellEnd"/>
      <w:r w:rsidRPr="005113BD">
        <w:rPr>
          <w:rFonts w:cs="Arial"/>
          <w:szCs w:val="22"/>
        </w:rPr>
        <w:t>. št. 1118, k. o. Verd.</w:t>
      </w:r>
    </w:p>
    <w:p w:rsidR="00610BD6" w:rsidRPr="005113BD" w:rsidRDefault="00610BD6" w:rsidP="00610BD6">
      <w:pPr>
        <w:jc w:val="both"/>
        <w:rPr>
          <w:rFonts w:cs="Arial"/>
          <w:szCs w:val="22"/>
        </w:rPr>
      </w:pPr>
      <w:r w:rsidRPr="005113BD">
        <w:rPr>
          <w:rFonts w:cs="Arial"/>
          <w:szCs w:val="22"/>
        </w:rPr>
        <w:t>(2) V območju OPPN je gradnjo objektov s pripadajočo zunanjo ureditvijo ter prometno, komunalno in energetsko infrastrukturo dopustno izvajati etapno oz. fazno.</w:t>
      </w:r>
    </w:p>
    <w:p w:rsidR="00610BD6" w:rsidRPr="005113BD" w:rsidRDefault="00610BD6" w:rsidP="00610BD6">
      <w:pPr>
        <w:autoSpaceDE w:val="0"/>
        <w:autoSpaceDN w:val="0"/>
        <w:adjustRightInd w:val="0"/>
        <w:rPr>
          <w:rFonts w:cs="Arial"/>
          <w:szCs w:val="22"/>
        </w:rPr>
      </w:pPr>
      <w:r w:rsidRPr="005113BD">
        <w:rPr>
          <w:rFonts w:cs="Arial"/>
          <w:szCs w:val="22"/>
        </w:rPr>
        <w:t xml:space="preserve">(3) V 1. etapi je potrebno zgraditi dovozno cesto z vso pripadajočo komunalno, energetsko in prometno infrastrukturo. </w:t>
      </w:r>
    </w:p>
    <w:p w:rsidR="00610BD6" w:rsidRPr="005113BD" w:rsidRDefault="00610BD6" w:rsidP="00610BD6">
      <w:pPr>
        <w:jc w:val="both"/>
        <w:rPr>
          <w:rFonts w:cs="Arial"/>
          <w:szCs w:val="22"/>
        </w:rPr>
      </w:pPr>
      <w:r w:rsidRPr="005113BD">
        <w:rPr>
          <w:rFonts w:cs="Arial"/>
          <w:szCs w:val="22"/>
        </w:rPr>
        <w:t xml:space="preserve">(4) Predvidene objekte je dopustno izvajati v poljubnem vrstnem redu oz. sočasno, pod pogojem, da sta bili predhodno izvedeni nova cesta Pot na Tojnice in 1. etapa. </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p>
    <w:p w:rsidR="00610BD6" w:rsidRPr="005113BD" w:rsidRDefault="00610BD6" w:rsidP="00610BD6">
      <w:pPr>
        <w:rPr>
          <w:rFonts w:cs="Arial"/>
          <w:bCs/>
          <w:szCs w:val="22"/>
        </w:rPr>
      </w:pPr>
      <w:r w:rsidRPr="005113BD">
        <w:rPr>
          <w:rFonts w:cs="Arial"/>
          <w:bCs/>
          <w:szCs w:val="22"/>
        </w:rPr>
        <w:t>VI. REŠITVE IN UKREPI ZA CELOSTNO OHRANJANJE KULTURNE DEDIŠČINE</w:t>
      </w:r>
    </w:p>
    <w:p w:rsidR="00610BD6" w:rsidRPr="005113BD" w:rsidRDefault="00610BD6" w:rsidP="00610BD6">
      <w:pPr>
        <w:pStyle w:val="Telobesedila3"/>
        <w:rPr>
          <w:sz w:val="22"/>
          <w:szCs w:val="22"/>
        </w:rPr>
      </w:pPr>
    </w:p>
    <w:p w:rsidR="00610BD6" w:rsidRPr="005113BD" w:rsidRDefault="00610BD6" w:rsidP="00610BD6">
      <w:pPr>
        <w:jc w:val="center"/>
        <w:rPr>
          <w:rFonts w:cs="Arial"/>
          <w:bCs/>
          <w:szCs w:val="22"/>
        </w:rPr>
      </w:pPr>
      <w:r w:rsidRPr="005113BD">
        <w:rPr>
          <w:rFonts w:cs="Arial"/>
          <w:bCs/>
          <w:szCs w:val="22"/>
        </w:rPr>
        <w:t>22. člen</w:t>
      </w:r>
    </w:p>
    <w:p w:rsidR="00610BD6" w:rsidRPr="005113BD" w:rsidRDefault="00610BD6" w:rsidP="00610BD6">
      <w:pPr>
        <w:jc w:val="center"/>
        <w:rPr>
          <w:rFonts w:cs="Arial"/>
          <w:bCs/>
          <w:szCs w:val="22"/>
        </w:rPr>
      </w:pPr>
      <w:r w:rsidRPr="005113BD">
        <w:rPr>
          <w:rFonts w:cs="Arial"/>
          <w:bCs/>
          <w:szCs w:val="22"/>
        </w:rPr>
        <w:t>(ohranjanje kulturne dediščine)</w:t>
      </w:r>
    </w:p>
    <w:p w:rsidR="00610BD6" w:rsidRPr="005113BD" w:rsidRDefault="00610BD6" w:rsidP="00610BD6">
      <w:pPr>
        <w:jc w:val="both"/>
        <w:rPr>
          <w:szCs w:val="22"/>
        </w:rPr>
      </w:pPr>
    </w:p>
    <w:p w:rsidR="00610BD6" w:rsidRPr="005113BD" w:rsidRDefault="00610BD6" w:rsidP="00610BD6">
      <w:pPr>
        <w:jc w:val="both"/>
        <w:rPr>
          <w:rFonts w:cs="Arial"/>
          <w:szCs w:val="22"/>
        </w:rPr>
      </w:pPr>
      <w:r w:rsidRPr="005113BD">
        <w:rPr>
          <w:rFonts w:cs="Arial"/>
          <w:szCs w:val="22"/>
        </w:rPr>
        <w:t>(1) V območju OPPN se nahajajo naslednje enote kulturne dediščine:</w:t>
      </w:r>
    </w:p>
    <w:p w:rsidR="00610BD6" w:rsidRPr="005113BD" w:rsidRDefault="00610BD6" w:rsidP="00610BD6">
      <w:pPr>
        <w:numPr>
          <w:ilvl w:val="0"/>
          <w:numId w:val="14"/>
        </w:numPr>
        <w:jc w:val="both"/>
        <w:rPr>
          <w:rFonts w:cs="Arial"/>
          <w:szCs w:val="22"/>
        </w:rPr>
      </w:pPr>
      <w:r w:rsidRPr="005113BD">
        <w:rPr>
          <w:rFonts w:cs="Arial"/>
          <w:szCs w:val="22"/>
        </w:rPr>
        <w:t>Arheološko območje Ljubljansko Barje (EŠD 9368),</w:t>
      </w:r>
    </w:p>
    <w:p w:rsidR="00610BD6" w:rsidRPr="005113BD" w:rsidRDefault="00610BD6" w:rsidP="00610BD6">
      <w:pPr>
        <w:numPr>
          <w:ilvl w:val="0"/>
          <w:numId w:val="14"/>
        </w:numPr>
        <w:jc w:val="both"/>
        <w:rPr>
          <w:rFonts w:cs="Arial"/>
          <w:szCs w:val="22"/>
        </w:rPr>
      </w:pPr>
      <w:r w:rsidRPr="005113BD">
        <w:rPr>
          <w:rFonts w:cs="Arial"/>
          <w:szCs w:val="22"/>
        </w:rPr>
        <w:t>Kulturna krajina Ljubljansko barje (EŠD 11819).</w:t>
      </w:r>
    </w:p>
    <w:p w:rsidR="00610BD6" w:rsidRPr="005113BD" w:rsidRDefault="00610BD6" w:rsidP="00610BD6">
      <w:pPr>
        <w:jc w:val="both"/>
        <w:rPr>
          <w:rFonts w:cs="Arial"/>
          <w:szCs w:val="22"/>
        </w:rPr>
      </w:pPr>
      <w:r w:rsidRPr="005113BD">
        <w:rPr>
          <w:rFonts w:cs="Arial"/>
          <w:szCs w:val="22"/>
        </w:rPr>
        <w:t>Območji kulturne dediščine sta razvidni iz prikaza stanja prostora, ki je obvezna priloga tega akta in drugih uradnih evidenc.</w:t>
      </w:r>
    </w:p>
    <w:p w:rsidR="00610BD6" w:rsidRPr="005113BD" w:rsidRDefault="00610BD6" w:rsidP="00610BD6">
      <w:pPr>
        <w:jc w:val="both"/>
        <w:rPr>
          <w:rFonts w:cs="Arial"/>
          <w:szCs w:val="22"/>
        </w:rPr>
      </w:pPr>
      <w:r w:rsidRPr="005113BD">
        <w:rPr>
          <w:rFonts w:cs="Arial"/>
          <w:szCs w:val="22"/>
        </w:rPr>
        <w:t>(2) Upoštevati je potrebno varstveni režim, ki velja za enote registrirane kulturne dediščine in njihova vplivna območja ter varstveni režim, ki velja za registrirano arheološko najdišče. Varstven režim območij kulturne dediščine je določen v Občinskem prostorskem načrtu.</w:t>
      </w:r>
    </w:p>
    <w:p w:rsidR="00610BD6" w:rsidRPr="005113BD" w:rsidRDefault="00610BD6" w:rsidP="00610BD6">
      <w:pPr>
        <w:jc w:val="both"/>
        <w:rPr>
          <w:rFonts w:cs="Arial"/>
          <w:szCs w:val="22"/>
        </w:rPr>
      </w:pPr>
      <w:r w:rsidRPr="005113BD">
        <w:rPr>
          <w:rFonts w:cs="Arial"/>
          <w:szCs w:val="22"/>
        </w:rPr>
        <w:t>(3) Na območjih registrirane kulturne dediščine ni dovoljeno odstraniti (rušiti) registrirane kulturne dediščine in posegati v prostor ali izvajati dejavnosti na način, ki bi prizadel varovane vrednote območja ter prepoznavne značilnosti in materialno substanco, ki so nosilci teh vrednot.</w:t>
      </w:r>
    </w:p>
    <w:p w:rsidR="00610BD6" w:rsidRPr="005113BD" w:rsidRDefault="00610BD6" w:rsidP="00610BD6">
      <w:pPr>
        <w:jc w:val="both"/>
        <w:rPr>
          <w:rFonts w:cs="Arial"/>
          <w:szCs w:val="22"/>
        </w:rPr>
      </w:pPr>
      <w:r w:rsidRPr="005113BD">
        <w:rPr>
          <w:rFonts w:cs="Arial"/>
          <w:szCs w:val="22"/>
        </w:rPr>
        <w:t>(4) Na območju urejanja veljajo splošna zakonska določila glede varstva arheoloških ostalin. Arheološka najdišča je treba varovati pred posegi ali uporabo, ki bi lahko poškodovali arheološke ostaline ali spremenili njihov vsebinski in prostorski kontekst.</w:t>
      </w:r>
    </w:p>
    <w:p w:rsidR="00610BD6" w:rsidRPr="005113BD" w:rsidRDefault="00610BD6" w:rsidP="00610BD6">
      <w:pPr>
        <w:jc w:val="both"/>
        <w:rPr>
          <w:rFonts w:cs="Arial"/>
          <w:szCs w:val="22"/>
        </w:rPr>
      </w:pPr>
      <w:r w:rsidRPr="005113BD">
        <w:rPr>
          <w:rFonts w:cs="Arial"/>
          <w:szCs w:val="22"/>
        </w:rPr>
        <w:lastRenderedPageBreak/>
        <w:t>(5) Izdelava predhodnih arheoloških raziskav na obravnavanem območju ni potrebna.</w:t>
      </w:r>
    </w:p>
    <w:p w:rsidR="00610BD6" w:rsidRPr="005113BD" w:rsidRDefault="00610BD6" w:rsidP="00610BD6">
      <w:pPr>
        <w:jc w:val="both"/>
        <w:rPr>
          <w:rFonts w:cs="Arial"/>
          <w:szCs w:val="22"/>
        </w:rPr>
      </w:pPr>
      <w:r w:rsidRPr="005113BD">
        <w:rPr>
          <w:rFonts w:cs="Arial"/>
          <w:szCs w:val="22"/>
        </w:rPr>
        <w:t>(6) Zaradi varstva arheoloških ostalin je potrebno Zavodu za varstvo kulturne dediščine Slovenije skladno s predpisi s področja varstva kulturne dediščine omogočiti dostop do zemljišč, kjer se bodo izvajala zemeljska dela in opravljanje strokovnega nadzora nad posegi. Lastnik zemljišča oz. investitor oz. odgovorni vodja del naj o dinamiki gradbenih del obvesti pristojno območno enoto Zavoda za varstvo kulturne dediščine Slovenije vsaj 10 dni pred pričetkom zemeljskih del.</w:t>
      </w:r>
    </w:p>
    <w:p w:rsidR="00610BD6" w:rsidRPr="005113BD" w:rsidRDefault="00610BD6" w:rsidP="00610BD6">
      <w:pPr>
        <w:jc w:val="both"/>
        <w:rPr>
          <w:rFonts w:cs="Arial"/>
          <w:szCs w:val="22"/>
        </w:rPr>
      </w:pPr>
      <w:r w:rsidRPr="005113BD">
        <w:rPr>
          <w:rFonts w:cs="Arial"/>
          <w:szCs w:val="22"/>
        </w:rPr>
        <w:t xml:space="preserve">(7) Za vsak poseg v enoto dediščine je treba pridobiti </w:t>
      </w:r>
      <w:proofErr w:type="spellStart"/>
      <w:r w:rsidRPr="005113BD">
        <w:rPr>
          <w:rFonts w:cs="Arial"/>
          <w:szCs w:val="22"/>
        </w:rPr>
        <w:t>kulturnovarstvene</w:t>
      </w:r>
      <w:proofErr w:type="spellEnd"/>
      <w:r w:rsidRPr="005113BD">
        <w:rPr>
          <w:rFonts w:cs="Arial"/>
          <w:szCs w:val="22"/>
        </w:rPr>
        <w:t xml:space="preserve"> pogoje in </w:t>
      </w:r>
      <w:proofErr w:type="spellStart"/>
      <w:r w:rsidRPr="005113BD">
        <w:rPr>
          <w:rFonts w:cs="Arial"/>
          <w:szCs w:val="22"/>
        </w:rPr>
        <w:t>kulturnovarstveno</w:t>
      </w:r>
      <w:proofErr w:type="spellEnd"/>
      <w:r w:rsidRPr="005113BD">
        <w:rPr>
          <w:rFonts w:cs="Arial"/>
          <w:szCs w:val="22"/>
        </w:rPr>
        <w:t xml:space="preserve"> soglasje po predpisih s področja varstva kulturne dediščine.</w:t>
      </w:r>
    </w:p>
    <w:p w:rsidR="00610BD6" w:rsidRPr="005113BD" w:rsidRDefault="00610BD6" w:rsidP="00610BD6">
      <w:pPr>
        <w:rPr>
          <w:rFonts w:cs="Arial"/>
          <w:b/>
          <w:bCs/>
          <w:szCs w:val="22"/>
        </w:rPr>
      </w:pPr>
    </w:p>
    <w:p w:rsidR="00610BD6" w:rsidRPr="005113BD" w:rsidRDefault="00610BD6" w:rsidP="00610BD6">
      <w:pPr>
        <w:jc w:val="both"/>
        <w:rPr>
          <w:rFonts w:cs="Arial"/>
          <w:bCs/>
          <w:szCs w:val="22"/>
        </w:rPr>
      </w:pPr>
      <w:r w:rsidRPr="005113BD">
        <w:rPr>
          <w:rFonts w:cs="Arial"/>
          <w:bCs/>
          <w:szCs w:val="22"/>
        </w:rPr>
        <w:t>VII. REŠITVE IN UKREPI ZA VAROVANJE OKOLJA IN NARAVNIH VIROV TER OHRANJANJE NARAVE</w:t>
      </w:r>
    </w:p>
    <w:p w:rsidR="00610BD6" w:rsidRPr="005113BD" w:rsidRDefault="00610BD6" w:rsidP="00610BD6">
      <w:pPr>
        <w:jc w:val="both"/>
        <w:rPr>
          <w:bCs/>
          <w:szCs w:val="22"/>
        </w:rPr>
      </w:pPr>
    </w:p>
    <w:p w:rsidR="00610BD6" w:rsidRPr="005113BD" w:rsidRDefault="00610BD6" w:rsidP="00610BD6">
      <w:pPr>
        <w:jc w:val="center"/>
        <w:rPr>
          <w:rFonts w:cs="Arial"/>
          <w:bCs/>
          <w:szCs w:val="22"/>
        </w:rPr>
      </w:pPr>
      <w:r w:rsidRPr="005113BD">
        <w:rPr>
          <w:rFonts w:cs="Arial"/>
          <w:bCs/>
          <w:szCs w:val="22"/>
        </w:rPr>
        <w:t>23. člen</w:t>
      </w:r>
    </w:p>
    <w:p w:rsidR="00610BD6" w:rsidRPr="005113BD" w:rsidRDefault="00610BD6" w:rsidP="00610BD6">
      <w:pPr>
        <w:jc w:val="center"/>
        <w:rPr>
          <w:rFonts w:cs="Arial"/>
          <w:bCs/>
          <w:szCs w:val="22"/>
        </w:rPr>
      </w:pPr>
      <w:r w:rsidRPr="005113BD">
        <w:rPr>
          <w:rFonts w:cs="Arial"/>
          <w:bCs/>
          <w:szCs w:val="22"/>
        </w:rPr>
        <w:t>(splošno)</w:t>
      </w:r>
    </w:p>
    <w:p w:rsidR="00610BD6" w:rsidRPr="005113BD" w:rsidRDefault="00610BD6" w:rsidP="00610BD6">
      <w:pPr>
        <w:jc w:val="both"/>
        <w:rPr>
          <w:b/>
          <w:bCs/>
          <w:szCs w:val="22"/>
        </w:rPr>
      </w:pPr>
    </w:p>
    <w:p w:rsidR="00610BD6" w:rsidRPr="005113BD" w:rsidRDefault="00610BD6" w:rsidP="00610BD6">
      <w:pPr>
        <w:rPr>
          <w:rFonts w:cs="Arial"/>
          <w:bCs/>
          <w:szCs w:val="22"/>
        </w:rPr>
      </w:pPr>
      <w:r w:rsidRPr="005113BD">
        <w:rPr>
          <w:rFonts w:cs="Arial"/>
        </w:rPr>
        <w:t>Ureditveno območje OPPN se nahaja na ekološko pomembnem območju Ljubljansko barje in na območju neposrednega vpliva na posebni varstveni območji Natura 2000 in SPA Ljubljansko Barje.</w:t>
      </w:r>
    </w:p>
    <w:p w:rsidR="00610BD6" w:rsidRPr="005113BD" w:rsidRDefault="00610BD6" w:rsidP="00610BD6">
      <w:pPr>
        <w:jc w:val="center"/>
        <w:rPr>
          <w:rFonts w:cs="Arial"/>
          <w:bCs/>
          <w:szCs w:val="22"/>
        </w:rPr>
      </w:pPr>
      <w:r w:rsidRPr="005113BD">
        <w:rPr>
          <w:rFonts w:cs="Arial"/>
          <w:bCs/>
          <w:szCs w:val="22"/>
        </w:rPr>
        <w:t>24. člen</w:t>
      </w:r>
    </w:p>
    <w:p w:rsidR="00610BD6" w:rsidRPr="005113BD" w:rsidRDefault="00610BD6" w:rsidP="00610BD6">
      <w:pPr>
        <w:jc w:val="center"/>
        <w:rPr>
          <w:rFonts w:cs="Arial"/>
          <w:bCs/>
          <w:szCs w:val="22"/>
        </w:rPr>
      </w:pPr>
      <w:r w:rsidRPr="005113BD">
        <w:rPr>
          <w:rFonts w:cs="Arial"/>
          <w:bCs/>
          <w:szCs w:val="22"/>
        </w:rPr>
        <w:t>(varstvo vode in podzemne vode)</w:t>
      </w:r>
    </w:p>
    <w:p w:rsidR="00610BD6" w:rsidRPr="005113BD" w:rsidRDefault="00610BD6" w:rsidP="00610BD6">
      <w:pPr>
        <w:jc w:val="center"/>
        <w:rPr>
          <w:rFonts w:cs="Arial"/>
          <w:bCs/>
          <w:szCs w:val="22"/>
        </w:rPr>
      </w:pPr>
    </w:p>
    <w:p w:rsidR="00610BD6" w:rsidRPr="005113BD" w:rsidRDefault="00610BD6" w:rsidP="00610BD6">
      <w:pPr>
        <w:pStyle w:val="E-PVO-natevanje1"/>
        <w:tabs>
          <w:tab w:val="clear" w:pos="747"/>
        </w:tabs>
        <w:ind w:left="0" w:firstLine="0"/>
        <w:jc w:val="both"/>
        <w:rPr>
          <w:rFonts w:ascii="Arial" w:hAnsi="Arial" w:cs="Arial"/>
          <w:noProof w:val="0"/>
          <w:sz w:val="22"/>
          <w:szCs w:val="22"/>
          <w:lang w:eastAsia="sl-SI"/>
        </w:rPr>
      </w:pPr>
      <w:r w:rsidRPr="005113BD">
        <w:rPr>
          <w:rFonts w:ascii="Arial" w:hAnsi="Arial" w:cs="Arial"/>
          <w:noProof w:val="0"/>
          <w:sz w:val="22"/>
          <w:szCs w:val="22"/>
          <w:lang w:eastAsia="sl-SI"/>
        </w:rPr>
        <w:t>(1) Območje OPPN leži izven vodovarstvenih območij.</w:t>
      </w:r>
    </w:p>
    <w:p w:rsidR="00610BD6" w:rsidRPr="005113BD" w:rsidRDefault="00610BD6" w:rsidP="00610BD6">
      <w:pPr>
        <w:jc w:val="both"/>
        <w:rPr>
          <w:rFonts w:cs="Arial"/>
          <w:szCs w:val="22"/>
        </w:rPr>
      </w:pPr>
      <w:r w:rsidRPr="005113BD">
        <w:rPr>
          <w:rFonts w:cs="Arial"/>
          <w:szCs w:val="22"/>
        </w:rPr>
        <w:t>(2) V projektu za pridobitev vodnega soglasja morajo biti obdelani in ustrezno prikazani vsi ukrepi, s katerimi bodo preprečeni škodljivi vplivi na vode in vodni režim, na poplavno varnost območja, na sam objekt in okolje.</w:t>
      </w:r>
    </w:p>
    <w:p w:rsidR="00610BD6" w:rsidRPr="005113BD" w:rsidRDefault="00610BD6" w:rsidP="00610BD6">
      <w:pPr>
        <w:jc w:val="both"/>
        <w:rPr>
          <w:rFonts w:cs="Arial"/>
          <w:szCs w:val="22"/>
        </w:rPr>
      </w:pPr>
      <w:r w:rsidRPr="005113BD">
        <w:rPr>
          <w:rFonts w:cs="Arial"/>
          <w:szCs w:val="22"/>
        </w:rPr>
        <w:t xml:space="preserve">(3) V času gradnje je treba predvideti vse potrebne varnostne ukrepe in tako organizacijo na gradbiščih, da bo preprečeno onesnaževanje voda, ki bi nastalo zaradi transporta, skladiščenja ali uporabe tekočih goriv ali drugih nevarnih snovi oziroma v primeru nezgod predvideti in zagotoviti takojšnje ukrepanje za to usposobljenih delavcev. Vsa začasna skladišča in pretakališča goriv, olj in maziv ter drugih nevarnih snovi morajo biti zaščitena pred možnostjo izliva v okolje. Prepovedano je izlivanje nevarnih kemikalij ali tekočih nevarnih odpadkov v tla, vode ali kanalizacijo. </w:t>
      </w:r>
    </w:p>
    <w:p w:rsidR="00610BD6" w:rsidRPr="005113BD" w:rsidRDefault="00610BD6" w:rsidP="00610BD6">
      <w:pPr>
        <w:jc w:val="both"/>
        <w:rPr>
          <w:rFonts w:cs="Arial"/>
          <w:szCs w:val="22"/>
        </w:rPr>
      </w:pPr>
      <w:r w:rsidRPr="005113BD">
        <w:rPr>
          <w:rFonts w:cs="Arial"/>
          <w:szCs w:val="22"/>
        </w:rPr>
        <w:t>(4) Po končani gradnji je potrebno zagotoviti odstranitev vseh za potrebe gradnje začasno postavljenih objektov in ostankov začasnih deponij. Vse z gradnjo prizadete površine je potrebno ustrezno krajinsko urediti.</w:t>
      </w:r>
    </w:p>
    <w:p w:rsidR="00610BD6" w:rsidRPr="005113BD" w:rsidRDefault="00610BD6" w:rsidP="00610BD6">
      <w:pPr>
        <w:jc w:val="both"/>
        <w:rPr>
          <w:rFonts w:cs="Arial"/>
          <w:szCs w:val="22"/>
        </w:rPr>
      </w:pPr>
      <w:r w:rsidRPr="005113BD">
        <w:rPr>
          <w:rFonts w:cs="Arial"/>
          <w:szCs w:val="22"/>
        </w:rPr>
        <w:t>(5) Vsi posegi v prostor morajo biti načrtovani tako, da ne pride do poslabšanja stanja voda in da se ne onemogoči varstva pred škodljivim delovanjem voda, kar mora biti v projektni dokumentaciji ustrezno prikazano in dokazano.</w:t>
      </w:r>
    </w:p>
    <w:p w:rsidR="00610BD6" w:rsidRPr="005113BD" w:rsidRDefault="00610BD6" w:rsidP="00610BD6">
      <w:pPr>
        <w:jc w:val="center"/>
        <w:rPr>
          <w:rFonts w:cs="Arial"/>
          <w:b/>
          <w:bCs/>
          <w:szCs w:val="22"/>
        </w:rPr>
      </w:pPr>
    </w:p>
    <w:p w:rsidR="00610BD6" w:rsidRPr="005113BD" w:rsidRDefault="00610BD6" w:rsidP="00610BD6">
      <w:pPr>
        <w:jc w:val="center"/>
        <w:rPr>
          <w:rFonts w:cs="Arial"/>
          <w:bCs/>
          <w:szCs w:val="22"/>
        </w:rPr>
      </w:pPr>
      <w:r w:rsidRPr="005113BD">
        <w:rPr>
          <w:rFonts w:cs="Arial"/>
          <w:bCs/>
          <w:szCs w:val="22"/>
        </w:rPr>
        <w:t>25. člen</w:t>
      </w:r>
    </w:p>
    <w:p w:rsidR="00610BD6" w:rsidRPr="005113BD" w:rsidRDefault="00610BD6" w:rsidP="00610BD6">
      <w:pPr>
        <w:jc w:val="center"/>
        <w:rPr>
          <w:rFonts w:cs="Arial"/>
          <w:bCs/>
          <w:szCs w:val="22"/>
        </w:rPr>
      </w:pPr>
      <w:r w:rsidRPr="005113BD">
        <w:rPr>
          <w:rFonts w:cs="Arial"/>
          <w:bCs/>
          <w:szCs w:val="22"/>
        </w:rPr>
        <w:t>(varstvo pred poplavami)</w:t>
      </w:r>
    </w:p>
    <w:p w:rsidR="00610BD6" w:rsidRPr="005113BD" w:rsidRDefault="00610BD6" w:rsidP="00610BD6">
      <w:pPr>
        <w:jc w:val="both"/>
        <w:rPr>
          <w:rFonts w:cs="Arial"/>
          <w:szCs w:val="22"/>
        </w:rPr>
      </w:pPr>
    </w:p>
    <w:p w:rsidR="00610BD6" w:rsidRPr="005113BD" w:rsidRDefault="00610BD6" w:rsidP="00610BD6">
      <w:pPr>
        <w:jc w:val="both"/>
        <w:rPr>
          <w:rFonts w:ascii="Calibri" w:hAnsi="Calibri" w:cs="Calibri"/>
        </w:rPr>
      </w:pPr>
      <w:r w:rsidRPr="005113BD">
        <w:rPr>
          <w:rFonts w:cs="Arial"/>
          <w:szCs w:val="22"/>
        </w:rPr>
        <w:t>(1) Območje OPPN se delno uvršča v območje preostale poplavne nevarnosti, delno v območje male poplavne nevarnosti in delno v območje srednje poplavne nevarnosti.</w:t>
      </w:r>
      <w:r w:rsidRPr="005113BD">
        <w:rPr>
          <w:rFonts w:ascii="Calibri" w:hAnsi="Calibri" w:cs="Calibri"/>
        </w:rPr>
        <w:t xml:space="preserve"> </w:t>
      </w:r>
    </w:p>
    <w:p w:rsidR="00610BD6" w:rsidRPr="005113BD" w:rsidRDefault="00610BD6" w:rsidP="00610BD6">
      <w:pPr>
        <w:jc w:val="both"/>
        <w:rPr>
          <w:rFonts w:cs="Arial"/>
          <w:szCs w:val="22"/>
        </w:rPr>
      </w:pPr>
      <w:r w:rsidRPr="005113BD">
        <w:rPr>
          <w:rFonts w:cs="Arial"/>
          <w:szCs w:val="22"/>
        </w:rPr>
        <w:t>(2) Na poplavnih območjih so prepovedane vse dejavnosti in vsi posegi v prostor, ki imajo ob poplavah škodljiv vpliv na vode, vodna in priobalna zemljišča ali povečujejo poplavno ogroženost območja, razen posegov, ki so namenjeni varstvu pred škodljivim delovanjem voda.</w:t>
      </w:r>
    </w:p>
    <w:p w:rsidR="00610BD6" w:rsidRPr="005113BD" w:rsidRDefault="00610BD6" w:rsidP="00610BD6">
      <w:pPr>
        <w:jc w:val="both"/>
        <w:rPr>
          <w:rFonts w:cs="Arial"/>
          <w:szCs w:val="22"/>
        </w:rPr>
      </w:pPr>
      <w:r w:rsidRPr="005113BD">
        <w:rPr>
          <w:rFonts w:cs="Arial"/>
          <w:szCs w:val="22"/>
        </w:rPr>
        <w:t xml:space="preserve">(3) </w:t>
      </w:r>
      <w:r w:rsidRPr="005113BD">
        <w:rPr>
          <w:rFonts w:cs="Arial"/>
        </w:rPr>
        <w:t>Pri projektiranju je potrebno upoštevati »Hidrološko</w:t>
      </w:r>
      <w:r w:rsidRPr="005113BD">
        <w:rPr>
          <w:rFonts w:cs="Arial"/>
          <w:szCs w:val="22"/>
        </w:rPr>
        <w:t>-</w:t>
      </w:r>
      <w:r w:rsidRPr="005113BD">
        <w:rPr>
          <w:rFonts w:cs="Arial"/>
        </w:rPr>
        <w:t xml:space="preserve">hidravlično študijo s predlogom ukrepov za območje Občinskega prostorskega načrta za področje Občine Vrhnika </w:t>
      </w:r>
      <w:r w:rsidRPr="005113BD">
        <w:rPr>
          <w:rFonts w:cs="Arial"/>
          <w:szCs w:val="22"/>
        </w:rPr>
        <w:t>–</w:t>
      </w:r>
      <w:r w:rsidRPr="005113BD">
        <w:rPr>
          <w:rFonts w:cs="Arial"/>
        </w:rPr>
        <w:t xml:space="preserve"> dopolnitev«, št. načrta IV-18/2010, 67/2010, ki sta jo izdelala PUH podjetje za urejanje hudournikov, s.p., Ljubljana in Matija Bogdan Marinček, s.p., Celje ter Hidravlično študijo odseka Ljubljanice na območju povezovalne ceste Bajerji-Tojnice, št. proj. PRO H 16033, ki jo je septembra 2016 izdelalo podjetje </w:t>
      </w:r>
      <w:proofErr w:type="spellStart"/>
      <w:r w:rsidRPr="005113BD">
        <w:rPr>
          <w:rFonts w:cs="Arial"/>
        </w:rPr>
        <w:t>Ekologika</w:t>
      </w:r>
      <w:proofErr w:type="spellEnd"/>
      <w:r w:rsidRPr="005113BD">
        <w:rPr>
          <w:rFonts w:cs="Arial"/>
        </w:rPr>
        <w:t xml:space="preserve"> d.o.o. iz Celja za potrebe OPPN za </w:t>
      </w:r>
      <w:r w:rsidRPr="005113BD">
        <w:rPr>
          <w:rFonts w:cs="Arial"/>
        </w:rPr>
        <w:lastRenderedPageBreak/>
        <w:t>povezovalno cesto Bajerji-Tojnice z mostom čez Ljubljanico.</w:t>
      </w:r>
      <w:r w:rsidRPr="005113BD">
        <w:rPr>
          <w:rFonts w:cs="Arial"/>
          <w:szCs w:val="22"/>
        </w:rPr>
        <w:t xml:space="preserve"> Celovite protipoplavne ukrepe, ki so predvideni z določili Odloka o občinskem podrobnem prostorskem načrtu za povezovalno cesto Bajerji – Tojnice z mostom čez Ljubljanico (Naš časopis št. 443/16 z dne 28. 11. 2016), je potrebno izvesti in jih predati v upravljanje pred </w:t>
      </w:r>
      <w:r w:rsidRPr="005113BD">
        <w:rPr>
          <w:rFonts w:cs="Arial"/>
        </w:rPr>
        <w:t>pridobivanjem soglasij in gradbenega dovoljenja za dela, ki so predmet tega OPPN</w:t>
      </w:r>
      <w:r w:rsidRPr="005113BD">
        <w:rPr>
          <w:rFonts w:cs="Arial"/>
          <w:szCs w:val="22"/>
        </w:rPr>
        <w:t>-</w:t>
      </w:r>
      <w:r w:rsidRPr="005113BD">
        <w:rPr>
          <w:rFonts w:cs="Arial"/>
        </w:rPr>
        <w:t>ja</w:t>
      </w:r>
      <w:r w:rsidRPr="005113BD">
        <w:rPr>
          <w:rFonts w:cs="Arial"/>
          <w:szCs w:val="22"/>
        </w:rPr>
        <w:t>.</w:t>
      </w:r>
    </w:p>
    <w:p w:rsidR="00610BD6" w:rsidRPr="005113BD" w:rsidRDefault="00610BD6" w:rsidP="00610BD6">
      <w:pPr>
        <w:jc w:val="both"/>
        <w:rPr>
          <w:rFonts w:cs="Arial"/>
          <w:szCs w:val="22"/>
        </w:rPr>
      </w:pPr>
      <w:r w:rsidRPr="005113BD">
        <w:rPr>
          <w:rFonts w:cs="Arial"/>
          <w:szCs w:val="22"/>
        </w:rPr>
        <w:t>(5) Protipoplavne ukrepe predstavlja rekonstrukcija obstoječe ceste Pot na Tojnice (od obstoječega križišča na vzhodni strani do avtocestnega podvoza na zahodni strani) in gradnja nove ceste do mostu čez Ljubljanico.</w:t>
      </w:r>
    </w:p>
    <w:p w:rsidR="00610BD6" w:rsidRPr="005113BD" w:rsidRDefault="00610BD6" w:rsidP="00610BD6">
      <w:pPr>
        <w:jc w:val="both"/>
        <w:rPr>
          <w:rFonts w:cs="Arial"/>
        </w:rPr>
      </w:pPr>
      <w:r w:rsidRPr="005113BD">
        <w:rPr>
          <w:rFonts w:cs="Arial"/>
        </w:rPr>
        <w:t>(6) Niveleta ceste mora biti izvedena nad koto Q 100, in sicer kot je določena v Hidrološko</w:t>
      </w:r>
      <w:r w:rsidRPr="005113BD">
        <w:rPr>
          <w:rFonts w:cs="Arial"/>
          <w:szCs w:val="22"/>
        </w:rPr>
        <w:t>–</w:t>
      </w:r>
      <w:r w:rsidRPr="005113BD">
        <w:rPr>
          <w:rFonts w:cs="Arial"/>
        </w:rPr>
        <w:t>hidravlični študiji s predlogom ukrepov za območje Občinskega prostorskega načrta za področje Občine Vrhnika – dopolnitev.</w:t>
      </w:r>
    </w:p>
    <w:p w:rsidR="00610BD6" w:rsidRPr="005113BD" w:rsidRDefault="00610BD6" w:rsidP="00610BD6">
      <w:pPr>
        <w:pStyle w:val="Style20"/>
        <w:widowControl/>
        <w:spacing w:line="240" w:lineRule="auto"/>
        <w:rPr>
          <w:rFonts w:ascii="Arial" w:eastAsia="Calibri" w:hAnsi="Arial" w:cs="Arial"/>
          <w:sz w:val="22"/>
          <w:szCs w:val="22"/>
          <w:lang w:eastAsia="en-US"/>
        </w:rPr>
      </w:pPr>
      <w:r w:rsidRPr="005113BD">
        <w:rPr>
          <w:rFonts w:ascii="Arial" w:hAnsi="Arial" w:cs="Arial"/>
          <w:sz w:val="22"/>
          <w:szCs w:val="22"/>
        </w:rPr>
        <w:t xml:space="preserve">(7) Odsek ceste na levem bregu Ljubljanice bo deloma nadomestil </w:t>
      </w:r>
      <w:proofErr w:type="spellStart"/>
      <w:r w:rsidRPr="005113BD">
        <w:rPr>
          <w:rFonts w:ascii="Arial" w:hAnsi="Arial" w:cs="Arial"/>
          <w:sz w:val="22"/>
          <w:szCs w:val="22"/>
        </w:rPr>
        <w:t>levobrežni</w:t>
      </w:r>
      <w:proofErr w:type="spellEnd"/>
      <w:r w:rsidRPr="005113BD">
        <w:rPr>
          <w:rFonts w:ascii="Arial" w:hAnsi="Arial" w:cs="Arial"/>
          <w:sz w:val="22"/>
          <w:szCs w:val="22"/>
        </w:rPr>
        <w:t xml:space="preserve"> nasip, ki je bil predviden v poplavni študiji v sklopu izdelave OPN Občine Vrhnika, ki bo varoval levi breg Ljubljanice pred stoletnim pretokom.</w:t>
      </w:r>
    </w:p>
    <w:p w:rsidR="00610BD6" w:rsidRPr="005113BD" w:rsidRDefault="00610BD6" w:rsidP="00610BD6">
      <w:pPr>
        <w:pStyle w:val="Style20"/>
        <w:widowControl/>
        <w:spacing w:line="240" w:lineRule="auto"/>
        <w:rPr>
          <w:rFonts w:ascii="Arial" w:eastAsia="Calibri" w:hAnsi="Arial" w:cs="Arial"/>
          <w:sz w:val="22"/>
          <w:szCs w:val="22"/>
          <w:lang w:eastAsia="en-US"/>
        </w:rPr>
      </w:pPr>
      <w:r w:rsidRPr="005113BD">
        <w:rPr>
          <w:rFonts w:ascii="Arial" w:eastAsia="Calibri" w:hAnsi="Arial" w:cs="Arial"/>
          <w:sz w:val="22"/>
          <w:szCs w:val="22"/>
          <w:lang w:eastAsia="en-US"/>
        </w:rPr>
        <w:t>(8) Ob izgradnji novogradnje bo prišlo do viškov vode, zaradi katerih bo potrebno izvesti izravnalne ukrepe. Nadomestna površina je pr</w:t>
      </w:r>
      <w:r>
        <w:rPr>
          <w:rFonts w:ascii="Arial" w:eastAsia="Calibri" w:hAnsi="Arial" w:cs="Arial"/>
          <w:sz w:val="22"/>
          <w:szCs w:val="22"/>
          <w:lang w:eastAsia="en-US"/>
        </w:rPr>
        <w:t>edvidena na zahodnem delu zemljiške</w:t>
      </w:r>
      <w:r w:rsidRPr="005113BD">
        <w:rPr>
          <w:rFonts w:ascii="Arial" w:eastAsia="Calibri" w:hAnsi="Arial" w:cs="Arial"/>
          <w:sz w:val="22"/>
          <w:szCs w:val="22"/>
          <w:lang w:eastAsia="en-US"/>
        </w:rPr>
        <w:t xml:space="preserve"> parc</w:t>
      </w:r>
      <w:r>
        <w:rPr>
          <w:rFonts w:ascii="Arial" w:eastAsia="Calibri" w:hAnsi="Arial" w:cs="Arial"/>
          <w:sz w:val="22"/>
          <w:szCs w:val="22"/>
          <w:lang w:eastAsia="en-US"/>
        </w:rPr>
        <w:t>ele</w:t>
      </w:r>
      <w:r w:rsidRPr="005113BD">
        <w:rPr>
          <w:rFonts w:ascii="Arial" w:eastAsia="Calibri" w:hAnsi="Arial" w:cs="Arial"/>
          <w:sz w:val="22"/>
          <w:szCs w:val="22"/>
          <w:lang w:eastAsia="en-US"/>
        </w:rPr>
        <w:t xml:space="preserve"> št. 1118, k.o. Verd, ki se nahaja izven ureditvenega območja OPPN in leži tudi izven območja Krajinskega parka Ljubljansko barje. </w:t>
      </w:r>
    </w:p>
    <w:p w:rsidR="00610BD6" w:rsidRPr="005113BD" w:rsidRDefault="00610BD6" w:rsidP="00610BD6">
      <w:pPr>
        <w:jc w:val="both"/>
        <w:rPr>
          <w:rFonts w:cs="Arial"/>
          <w:szCs w:val="22"/>
        </w:rPr>
      </w:pPr>
      <w:r w:rsidRPr="005113BD">
        <w:rPr>
          <w:rFonts w:cs="Arial"/>
          <w:szCs w:val="22"/>
        </w:rPr>
        <w:t xml:space="preserve">(9) Celovit protipoplavni ukrep je razviden iz načrta št. 4.7. »Prikaz celovitega protipoplavnega ukrepa«. </w:t>
      </w:r>
    </w:p>
    <w:p w:rsidR="00610BD6" w:rsidRPr="005113BD" w:rsidRDefault="00610BD6" w:rsidP="00610BD6">
      <w:pPr>
        <w:ind w:left="720"/>
        <w:jc w:val="both"/>
        <w:rPr>
          <w:rFonts w:cs="Arial"/>
          <w:szCs w:val="22"/>
        </w:rPr>
      </w:pPr>
    </w:p>
    <w:p w:rsidR="00610BD6" w:rsidRPr="005113BD" w:rsidRDefault="00610BD6" w:rsidP="00610BD6">
      <w:pPr>
        <w:jc w:val="center"/>
        <w:rPr>
          <w:rFonts w:cs="Arial"/>
          <w:bCs/>
          <w:szCs w:val="22"/>
        </w:rPr>
      </w:pPr>
      <w:r w:rsidRPr="005113BD">
        <w:rPr>
          <w:rFonts w:cs="Arial"/>
          <w:bCs/>
          <w:szCs w:val="22"/>
        </w:rPr>
        <w:t>26. člen</w:t>
      </w:r>
    </w:p>
    <w:p w:rsidR="00610BD6" w:rsidRPr="005113BD" w:rsidRDefault="00610BD6" w:rsidP="00610BD6">
      <w:pPr>
        <w:jc w:val="center"/>
        <w:rPr>
          <w:rFonts w:cs="Arial"/>
          <w:bCs/>
          <w:szCs w:val="22"/>
        </w:rPr>
      </w:pPr>
      <w:r w:rsidRPr="005113BD">
        <w:rPr>
          <w:rFonts w:cs="Arial"/>
          <w:bCs/>
          <w:szCs w:val="22"/>
        </w:rPr>
        <w:t>(varstvo narave)</w:t>
      </w:r>
    </w:p>
    <w:p w:rsidR="00610BD6" w:rsidRPr="005113BD" w:rsidRDefault="00610BD6" w:rsidP="00610BD6">
      <w:pPr>
        <w:jc w:val="both"/>
        <w:rPr>
          <w:rFonts w:cs="Arial"/>
          <w:szCs w:val="22"/>
        </w:rPr>
      </w:pPr>
    </w:p>
    <w:p w:rsidR="00610BD6" w:rsidRPr="005113BD" w:rsidRDefault="00610BD6" w:rsidP="00610BD6">
      <w:pPr>
        <w:jc w:val="both"/>
        <w:rPr>
          <w:rFonts w:cs="Arial"/>
        </w:rPr>
      </w:pPr>
      <w:r w:rsidRPr="005113BD">
        <w:rPr>
          <w:rFonts w:cs="Arial"/>
        </w:rPr>
        <w:t xml:space="preserve">(1) Ureditveno območje OPPN se nahaja na ekološko pomembnem območju Ljubljansko barje </w:t>
      </w:r>
      <w:r w:rsidRPr="005113BD">
        <w:rPr>
          <w:rFonts w:cs="Arial"/>
          <w:szCs w:val="22"/>
        </w:rPr>
        <w:t>–</w:t>
      </w:r>
      <w:r w:rsidRPr="005113BD">
        <w:rPr>
          <w:rFonts w:cs="Arial"/>
        </w:rPr>
        <w:t xml:space="preserve"> </w:t>
      </w:r>
      <w:proofErr w:type="spellStart"/>
      <w:r w:rsidRPr="005113BD">
        <w:rPr>
          <w:rFonts w:cs="Arial"/>
        </w:rPr>
        <w:t>ident</w:t>
      </w:r>
      <w:proofErr w:type="spellEnd"/>
      <w:r w:rsidRPr="005113BD">
        <w:rPr>
          <w:rFonts w:cs="Arial"/>
        </w:rPr>
        <w:t xml:space="preserve">. št. 31400 (Uredba o ekološko pomembnih območjih, Ur. list RS št. 48/04, 33/13 in 99/13) in na območju neposrednega vpliva na posebni varstveni območji (območji Natura 2000) SPA Ljubljansko Barje - </w:t>
      </w:r>
      <w:proofErr w:type="spellStart"/>
      <w:r w:rsidRPr="005113BD">
        <w:rPr>
          <w:rFonts w:cs="Arial"/>
        </w:rPr>
        <w:t>ident</w:t>
      </w:r>
      <w:proofErr w:type="spellEnd"/>
      <w:r w:rsidRPr="005113BD">
        <w:rPr>
          <w:rFonts w:cs="Arial"/>
        </w:rPr>
        <w:t xml:space="preserve">. št. 5000014 in SAC Ljubljansko barje </w:t>
      </w:r>
      <w:r w:rsidRPr="005113BD">
        <w:rPr>
          <w:rFonts w:cs="Arial"/>
          <w:szCs w:val="22"/>
        </w:rPr>
        <w:t>–</w:t>
      </w:r>
      <w:r w:rsidRPr="005113BD">
        <w:rPr>
          <w:rFonts w:cs="Arial"/>
        </w:rPr>
        <w:t xml:space="preserve"> </w:t>
      </w:r>
      <w:proofErr w:type="spellStart"/>
      <w:r w:rsidRPr="005113BD">
        <w:rPr>
          <w:rFonts w:cs="Arial"/>
        </w:rPr>
        <w:t>ident</w:t>
      </w:r>
      <w:proofErr w:type="spellEnd"/>
      <w:r w:rsidRPr="005113BD">
        <w:rPr>
          <w:rFonts w:cs="Arial"/>
        </w:rPr>
        <w:t xml:space="preserve">. št. 3000271 (Uredba o posebnih varstvenih območjih </w:t>
      </w:r>
      <w:r w:rsidRPr="005113BD">
        <w:rPr>
          <w:rFonts w:cs="Arial"/>
          <w:szCs w:val="22"/>
        </w:rPr>
        <w:t>–</w:t>
      </w:r>
      <w:r w:rsidRPr="005113BD">
        <w:rPr>
          <w:rFonts w:cs="Arial"/>
        </w:rPr>
        <w:t xml:space="preserve"> območjih Natura 2000, Ur. list RS št. 49/04, 110/04, 59/07, 43/08, 8/12, 33/13, 3/14 in 21/16).</w:t>
      </w:r>
    </w:p>
    <w:p w:rsidR="00610BD6" w:rsidRPr="005113BD" w:rsidRDefault="00610BD6" w:rsidP="00610BD6">
      <w:pPr>
        <w:jc w:val="both"/>
        <w:rPr>
          <w:rFonts w:cs="Arial"/>
        </w:rPr>
      </w:pPr>
      <w:r w:rsidRPr="005113BD">
        <w:rPr>
          <w:rFonts w:cs="Arial"/>
        </w:rPr>
        <w:t>(2) Načrtovane ureditve ne bodo imele vpliva na navedena območja z naravovarstvenim statusom.</w:t>
      </w: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t>27. člen</w:t>
      </w:r>
    </w:p>
    <w:p w:rsidR="00610BD6" w:rsidRPr="005113BD" w:rsidRDefault="00610BD6" w:rsidP="00610BD6">
      <w:pPr>
        <w:jc w:val="center"/>
        <w:rPr>
          <w:rFonts w:cs="Arial"/>
          <w:bCs/>
          <w:szCs w:val="22"/>
        </w:rPr>
      </w:pPr>
      <w:r w:rsidRPr="005113BD">
        <w:rPr>
          <w:rFonts w:cs="Arial"/>
          <w:bCs/>
          <w:szCs w:val="22"/>
        </w:rPr>
        <w:t>(varstvo zraka)</w:t>
      </w:r>
    </w:p>
    <w:p w:rsidR="00610BD6" w:rsidRPr="005113BD" w:rsidRDefault="00610BD6" w:rsidP="00610BD6">
      <w:pPr>
        <w:jc w:val="center"/>
        <w:rPr>
          <w:rFonts w:cs="Arial"/>
          <w:szCs w:val="22"/>
        </w:rPr>
      </w:pPr>
    </w:p>
    <w:p w:rsidR="00610BD6" w:rsidRPr="005113BD" w:rsidRDefault="00610BD6" w:rsidP="00610BD6">
      <w:pPr>
        <w:pStyle w:val="Telobesedila2"/>
        <w:rPr>
          <w:rFonts w:cs="Arial"/>
          <w:szCs w:val="22"/>
        </w:rPr>
      </w:pPr>
      <w:r w:rsidRPr="005113BD">
        <w:rPr>
          <w:rFonts w:cs="Arial"/>
          <w:szCs w:val="22"/>
        </w:rPr>
        <w:t>(1) Predvideni objekti ne smejo prekomerno onesnaževati zraka.</w:t>
      </w:r>
    </w:p>
    <w:p w:rsidR="00610BD6" w:rsidRPr="005113BD" w:rsidRDefault="00610BD6" w:rsidP="00610BD6">
      <w:pPr>
        <w:jc w:val="both"/>
        <w:rPr>
          <w:rFonts w:cs="Arial"/>
          <w:szCs w:val="22"/>
        </w:rPr>
      </w:pPr>
      <w:r w:rsidRPr="005113BD">
        <w:rPr>
          <w:rFonts w:cs="Arial"/>
          <w:szCs w:val="22"/>
        </w:rPr>
        <w:t xml:space="preserve">(2) Prezračevanje objektov se izvede naravno ali prisilno. Zajem zraka za prisilno prezračevanje se predvidi umaknjeno od obodnih cest. Odvod dimnih plinov se predvidi nad strehami objektov. </w:t>
      </w:r>
    </w:p>
    <w:p w:rsidR="00610BD6" w:rsidRPr="005113BD" w:rsidRDefault="00610BD6" w:rsidP="00610BD6">
      <w:pPr>
        <w:jc w:val="both"/>
        <w:rPr>
          <w:rFonts w:cs="Arial"/>
          <w:szCs w:val="22"/>
        </w:rPr>
      </w:pPr>
      <w:r w:rsidRPr="005113BD">
        <w:rPr>
          <w:rFonts w:cs="Arial"/>
          <w:szCs w:val="22"/>
        </w:rPr>
        <w:t xml:space="preserve">(3) V času gradnje je potrebno preprečiti prašenje z vlaženjem sipkih materialov in nezaščitenih površin ter preprečiti </w:t>
      </w:r>
      <w:proofErr w:type="spellStart"/>
      <w:r w:rsidRPr="005113BD">
        <w:rPr>
          <w:rFonts w:cs="Arial"/>
          <w:szCs w:val="22"/>
        </w:rPr>
        <w:t>raznos</w:t>
      </w:r>
      <w:proofErr w:type="spellEnd"/>
      <w:r w:rsidRPr="005113BD">
        <w:rPr>
          <w:rFonts w:cs="Arial"/>
          <w:szCs w:val="22"/>
        </w:rPr>
        <w:t xml:space="preserve"> materiala z gradbišča.</w:t>
      </w:r>
    </w:p>
    <w:p w:rsidR="00610BD6" w:rsidRDefault="00610BD6" w:rsidP="00610BD6">
      <w:pPr>
        <w:jc w:val="both"/>
        <w:rPr>
          <w:rFonts w:cs="Arial"/>
          <w:szCs w:val="22"/>
        </w:rPr>
      </w:pP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t>28. člen</w:t>
      </w:r>
    </w:p>
    <w:p w:rsidR="00610BD6" w:rsidRPr="005113BD" w:rsidRDefault="00610BD6" w:rsidP="00610BD6">
      <w:pPr>
        <w:jc w:val="center"/>
        <w:rPr>
          <w:rFonts w:cs="Arial"/>
          <w:bCs/>
          <w:szCs w:val="22"/>
        </w:rPr>
      </w:pPr>
      <w:r w:rsidRPr="005113BD">
        <w:rPr>
          <w:rFonts w:cs="Arial"/>
          <w:bCs/>
          <w:szCs w:val="22"/>
        </w:rPr>
        <w:t>(varstvo pred hrupom)</w:t>
      </w:r>
    </w:p>
    <w:p w:rsidR="00610BD6" w:rsidRPr="005113BD" w:rsidRDefault="00610BD6" w:rsidP="00610BD6">
      <w:pPr>
        <w:jc w:val="both"/>
        <w:rPr>
          <w:bCs/>
          <w:szCs w:val="22"/>
        </w:rPr>
      </w:pPr>
    </w:p>
    <w:p w:rsidR="00610BD6" w:rsidRPr="005113BD" w:rsidRDefault="00610BD6" w:rsidP="00610BD6">
      <w:pPr>
        <w:jc w:val="both"/>
        <w:rPr>
          <w:rFonts w:cs="Arial"/>
          <w:szCs w:val="22"/>
        </w:rPr>
      </w:pPr>
      <w:r w:rsidRPr="005113BD">
        <w:rPr>
          <w:rFonts w:cs="Arial"/>
          <w:szCs w:val="22"/>
        </w:rPr>
        <w:t xml:space="preserve">(1) Širše območje leži v območju IV. stopnje varstva pred hrupom. Za območje IV. stopnje je dovoljena mejna raven hrupa 65 </w:t>
      </w:r>
      <w:proofErr w:type="spellStart"/>
      <w:r w:rsidRPr="005113BD">
        <w:rPr>
          <w:rFonts w:cs="Arial"/>
          <w:szCs w:val="22"/>
        </w:rPr>
        <w:t>dBA</w:t>
      </w:r>
      <w:proofErr w:type="spellEnd"/>
      <w:r w:rsidRPr="005113BD">
        <w:rPr>
          <w:rFonts w:cs="Arial"/>
          <w:szCs w:val="22"/>
        </w:rPr>
        <w:t xml:space="preserve"> ponoči in 75 </w:t>
      </w:r>
      <w:proofErr w:type="spellStart"/>
      <w:r w:rsidRPr="005113BD">
        <w:rPr>
          <w:rFonts w:cs="Arial"/>
          <w:szCs w:val="22"/>
        </w:rPr>
        <w:t>dBA</w:t>
      </w:r>
      <w:proofErr w:type="spellEnd"/>
      <w:r w:rsidRPr="005113BD">
        <w:rPr>
          <w:rFonts w:cs="Arial"/>
          <w:szCs w:val="22"/>
        </w:rPr>
        <w:t xml:space="preserve"> podnevi.</w:t>
      </w:r>
    </w:p>
    <w:p w:rsidR="00610BD6" w:rsidRPr="005113BD" w:rsidRDefault="00610BD6" w:rsidP="00610BD6">
      <w:pPr>
        <w:jc w:val="both"/>
        <w:rPr>
          <w:rFonts w:cs="Arial"/>
          <w:szCs w:val="22"/>
        </w:rPr>
      </w:pPr>
      <w:r w:rsidRPr="005113BD">
        <w:rPr>
          <w:rFonts w:cs="Arial"/>
          <w:szCs w:val="22"/>
        </w:rPr>
        <w:t>(2) V času intenzivnih gradbenih del je treba izvajati meritve hrupa. V primeru preseganja dovoljenih ravni je treba zagotoviti ustrezne dodatne zaščitne ukrepe.</w:t>
      </w:r>
    </w:p>
    <w:p w:rsidR="00610BD6" w:rsidRPr="005113BD" w:rsidRDefault="00610BD6" w:rsidP="00610BD6">
      <w:pPr>
        <w:jc w:val="both"/>
        <w:rPr>
          <w:rFonts w:cs="Arial"/>
          <w:szCs w:val="22"/>
        </w:rPr>
      </w:pPr>
      <w:r w:rsidRPr="005113BD">
        <w:rPr>
          <w:rFonts w:cs="Arial"/>
          <w:szCs w:val="22"/>
        </w:rPr>
        <w:t>(3) Gradnja novih za hrup občutljivih objektov na obravnavanem območju ni dovoljena.</w:t>
      </w:r>
    </w:p>
    <w:p w:rsidR="00610BD6" w:rsidRPr="005113BD" w:rsidRDefault="00610BD6" w:rsidP="00610BD6">
      <w:pPr>
        <w:jc w:val="both"/>
        <w:rPr>
          <w:rFonts w:cs="Arial"/>
          <w:szCs w:val="22"/>
        </w:rPr>
      </w:pPr>
      <w:r w:rsidRPr="005113BD">
        <w:rPr>
          <w:rFonts w:cs="Arial"/>
          <w:szCs w:val="22"/>
        </w:rPr>
        <w:t>(4) Za vse varovane prostore morajo investitorji objektov zagotoviti ustrezno pasivno protihrupno zaščito.</w:t>
      </w:r>
    </w:p>
    <w:p w:rsidR="00610BD6" w:rsidRPr="005113BD" w:rsidRDefault="00610BD6" w:rsidP="00610BD6">
      <w:pPr>
        <w:jc w:val="both"/>
        <w:rPr>
          <w:rFonts w:cs="Arial"/>
          <w:szCs w:val="22"/>
        </w:rPr>
      </w:pPr>
      <w:r w:rsidRPr="005113BD">
        <w:rPr>
          <w:rFonts w:cs="Arial"/>
          <w:szCs w:val="22"/>
        </w:rPr>
        <w:lastRenderedPageBreak/>
        <w:t>(5) DARS ne bo zagotavljal dodatnih ukrepov varstva pred hrupom za nove objekte in njihove funkcionalne površine, kot tudi ne zaščite pred morebitnimi drugimi vplivi, ki so ali bodo posledica obratovanja avtoceste, glede na načrtovane ukrepe zaščite v sklopu njene izgradnje. Izvedba vseh ukrepov za zaščito območja in objektov je obveznost investitorjev novih posegov.</w:t>
      </w:r>
    </w:p>
    <w:p w:rsidR="00610BD6" w:rsidRPr="005113BD" w:rsidRDefault="00610BD6" w:rsidP="00610BD6">
      <w:pPr>
        <w:jc w:val="both"/>
        <w:rPr>
          <w:rFonts w:cs="Arial"/>
          <w:szCs w:val="22"/>
        </w:rPr>
      </w:pPr>
      <w:r w:rsidRPr="005113BD">
        <w:rPr>
          <w:rFonts w:cs="Arial"/>
          <w:szCs w:val="22"/>
        </w:rPr>
        <w:t>(5) Pri gradnji objektov v varovalnem pasu avtoceste, DARS d.d. ne prevzema nikakršne finančne ali druge odgovornosti kot posledico hrupa, vibracij in ostalih vplivov prometa, ki se pojavijo zaradi avtoceste.</w:t>
      </w: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t>29. člen</w:t>
      </w:r>
    </w:p>
    <w:p w:rsidR="00610BD6" w:rsidRPr="005113BD" w:rsidRDefault="00610BD6" w:rsidP="00610BD6">
      <w:pPr>
        <w:jc w:val="center"/>
        <w:rPr>
          <w:rFonts w:cs="Arial"/>
          <w:bCs/>
          <w:szCs w:val="22"/>
        </w:rPr>
      </w:pPr>
      <w:r w:rsidRPr="005113BD">
        <w:rPr>
          <w:rFonts w:cs="Arial"/>
          <w:bCs/>
          <w:szCs w:val="22"/>
        </w:rPr>
        <w:t>(odstranjevanje odpadkov)</w:t>
      </w:r>
    </w:p>
    <w:p w:rsidR="00610BD6" w:rsidRPr="005113BD" w:rsidRDefault="00610BD6" w:rsidP="00610BD6">
      <w:pPr>
        <w:tabs>
          <w:tab w:val="left" w:pos="284"/>
        </w:tabs>
        <w:jc w:val="both"/>
        <w:rPr>
          <w:b/>
          <w:bCs/>
          <w:szCs w:val="22"/>
        </w:rPr>
      </w:pPr>
    </w:p>
    <w:p w:rsidR="00610BD6" w:rsidRPr="005113BD" w:rsidRDefault="00610BD6" w:rsidP="00610BD6">
      <w:pPr>
        <w:jc w:val="both"/>
        <w:rPr>
          <w:rFonts w:cs="Arial"/>
          <w:szCs w:val="22"/>
        </w:rPr>
      </w:pPr>
      <w:r w:rsidRPr="005113BD">
        <w:rPr>
          <w:rFonts w:cs="Arial"/>
          <w:szCs w:val="22"/>
        </w:rPr>
        <w:t xml:space="preserve">(1) Na obravnavanem območju je predvidenih več ekoloških otokov dimenzij 8,00 x 1,50 m. </w:t>
      </w:r>
    </w:p>
    <w:p w:rsidR="00610BD6" w:rsidRPr="005113BD" w:rsidRDefault="00610BD6" w:rsidP="00610BD6">
      <w:pPr>
        <w:jc w:val="both"/>
        <w:rPr>
          <w:rFonts w:cs="Arial"/>
          <w:szCs w:val="22"/>
        </w:rPr>
      </w:pPr>
      <w:r w:rsidRPr="005113BD">
        <w:rPr>
          <w:rFonts w:cs="Arial"/>
          <w:szCs w:val="22"/>
        </w:rPr>
        <w:t>(2) Prevzemna mesta za komunalne odpadke je treba umestiti izven voznih površin in na dovolj veliki in primerno utrjeni površini, ki omogoča dostop standardnih smetarskih vozil. Po možnosti naj bo dostop možen ves dan.</w:t>
      </w:r>
    </w:p>
    <w:p w:rsidR="00610BD6" w:rsidRPr="005113BD" w:rsidRDefault="00610BD6" w:rsidP="00610BD6">
      <w:pPr>
        <w:jc w:val="both"/>
        <w:rPr>
          <w:rFonts w:cs="Arial"/>
          <w:szCs w:val="22"/>
        </w:rPr>
      </w:pPr>
      <w:r w:rsidRPr="005113BD">
        <w:rPr>
          <w:rFonts w:cs="Arial"/>
          <w:szCs w:val="22"/>
        </w:rPr>
        <w:t>(3) Zbirno mesto za odpadke mora biti urejeno na funkcionalnih površinah ali v objektih.</w:t>
      </w:r>
    </w:p>
    <w:p w:rsidR="00610BD6" w:rsidRPr="005113BD" w:rsidRDefault="00610BD6" w:rsidP="00610BD6">
      <w:pPr>
        <w:jc w:val="both"/>
        <w:rPr>
          <w:rFonts w:cs="Arial"/>
          <w:szCs w:val="22"/>
        </w:rPr>
      </w:pPr>
      <w:r w:rsidRPr="005113BD">
        <w:rPr>
          <w:rFonts w:cs="Arial"/>
          <w:szCs w:val="22"/>
        </w:rPr>
        <w:t xml:space="preserve">(4) Zbirna in prevzemna mesta morajo biti urejena v skladu s predpisi o javni službi zbiranja in prevoza komunalnih odpadkov. </w:t>
      </w:r>
    </w:p>
    <w:p w:rsidR="00610BD6" w:rsidRPr="005113BD" w:rsidRDefault="00610BD6" w:rsidP="00610BD6">
      <w:pPr>
        <w:jc w:val="both"/>
        <w:rPr>
          <w:rFonts w:cs="Arial"/>
          <w:szCs w:val="22"/>
        </w:rPr>
      </w:pPr>
      <w:r w:rsidRPr="005113BD">
        <w:rPr>
          <w:rFonts w:cs="Arial"/>
          <w:szCs w:val="22"/>
        </w:rPr>
        <w:t>(5) Zadrževanje, zbiranje ali odlaganje odpadnega materiala izven za to določenih mestih je prepovedano.</w:t>
      </w:r>
    </w:p>
    <w:p w:rsidR="00610BD6" w:rsidRPr="005113BD" w:rsidRDefault="00610BD6" w:rsidP="00610BD6">
      <w:pPr>
        <w:jc w:val="both"/>
        <w:rPr>
          <w:rFonts w:cs="Arial"/>
          <w:szCs w:val="22"/>
        </w:rPr>
      </w:pPr>
      <w:r w:rsidRPr="005113BD">
        <w:rPr>
          <w:rFonts w:cs="Arial"/>
          <w:szCs w:val="22"/>
        </w:rPr>
        <w:t>(6) Upravitelj objekta oziroma prostora mora pred izdajo uporabnega dovoljenja skleniti pogodbo s Komunalnim podjetjem Vrhnika o številu in velikosti zabojnikov za ločeno zbiranje odpadkov in odvozu.</w:t>
      </w:r>
    </w:p>
    <w:p w:rsidR="00610BD6" w:rsidRPr="005113BD" w:rsidRDefault="00610BD6" w:rsidP="00610BD6">
      <w:pPr>
        <w:jc w:val="both"/>
        <w:rPr>
          <w:rFonts w:cs="Arial"/>
          <w:szCs w:val="22"/>
        </w:rPr>
      </w:pPr>
      <w:r w:rsidRPr="005113BD">
        <w:rPr>
          <w:rFonts w:cs="Arial"/>
          <w:szCs w:val="22"/>
        </w:rPr>
        <w:t>(7) Razmestitev zbirnih in prevzemnih mest za komunalne odpadke za novogradnjo in zbiralnice ločenih odpadkov je razvidna iz grafičnih načrtov št. 4.3 »Komunalna ureditev« in 4.4. »Prometno tehnična situacija in idejna višinska regulacija«.</w:t>
      </w:r>
    </w:p>
    <w:p w:rsidR="00610BD6" w:rsidRPr="005113BD" w:rsidRDefault="00610BD6" w:rsidP="00610BD6">
      <w:pPr>
        <w:tabs>
          <w:tab w:val="left" w:pos="284"/>
        </w:tabs>
        <w:jc w:val="both"/>
        <w:rPr>
          <w:szCs w:val="22"/>
        </w:rPr>
      </w:pPr>
    </w:p>
    <w:p w:rsidR="00610BD6" w:rsidRPr="005113BD" w:rsidRDefault="00610BD6" w:rsidP="00610BD6">
      <w:pPr>
        <w:tabs>
          <w:tab w:val="left" w:pos="284"/>
        </w:tabs>
        <w:jc w:val="center"/>
        <w:rPr>
          <w:rFonts w:cs="Arial"/>
          <w:bCs/>
          <w:szCs w:val="22"/>
        </w:rPr>
      </w:pPr>
      <w:r w:rsidRPr="005113BD">
        <w:rPr>
          <w:rFonts w:cs="Arial"/>
          <w:bCs/>
          <w:szCs w:val="22"/>
        </w:rPr>
        <w:t>30. člen</w:t>
      </w:r>
    </w:p>
    <w:p w:rsidR="00610BD6" w:rsidRPr="005113BD" w:rsidRDefault="00610BD6" w:rsidP="00610BD6">
      <w:pPr>
        <w:tabs>
          <w:tab w:val="left" w:pos="284"/>
        </w:tabs>
        <w:jc w:val="center"/>
        <w:rPr>
          <w:rFonts w:cs="Arial"/>
          <w:bCs/>
          <w:szCs w:val="22"/>
        </w:rPr>
      </w:pPr>
      <w:r w:rsidRPr="005113BD">
        <w:rPr>
          <w:rFonts w:cs="Arial"/>
          <w:bCs/>
          <w:szCs w:val="22"/>
        </w:rPr>
        <w:t>(učinkovita raba energije v stavbah)</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(1) V predvidenih objektih je treba najmanj 25 % moči za gretje, prezračevanje, hlajenje in toplo vodo zagotoviti z aktivno uporabo enega ali več virov obnovljive energije ali s priključitvijo na naprave za pridobivanje toplote ali hladu iz obnovljivih virov zunaj stavbe.</w:t>
      </w:r>
    </w:p>
    <w:p w:rsidR="00610BD6" w:rsidRPr="005113BD" w:rsidRDefault="00610BD6" w:rsidP="00610BD6">
      <w:pPr>
        <w:jc w:val="both"/>
        <w:rPr>
          <w:rFonts w:cs="Arial"/>
          <w:szCs w:val="22"/>
        </w:rPr>
      </w:pPr>
      <w:r w:rsidRPr="005113BD">
        <w:rPr>
          <w:rFonts w:cs="Arial"/>
          <w:szCs w:val="22"/>
        </w:rPr>
        <w:t>(2) Na strehah in fasadah predvidenih objektov je dopustna namestitev sončnih zbiralnikov ali sončnih celic (</w:t>
      </w:r>
      <w:proofErr w:type="spellStart"/>
      <w:r w:rsidRPr="005113BD">
        <w:rPr>
          <w:rFonts w:cs="Arial"/>
          <w:szCs w:val="22"/>
        </w:rPr>
        <w:t>fotovoltaika</w:t>
      </w:r>
      <w:proofErr w:type="spellEnd"/>
      <w:r w:rsidRPr="005113BD">
        <w:rPr>
          <w:rFonts w:cs="Arial"/>
          <w:szCs w:val="22"/>
        </w:rPr>
        <w:t>) za potrebe sončne elektrarne.</w:t>
      </w:r>
    </w:p>
    <w:p w:rsidR="00610BD6" w:rsidRPr="005113BD" w:rsidRDefault="00610BD6" w:rsidP="00610BD6">
      <w:pPr>
        <w:jc w:val="both"/>
        <w:rPr>
          <w:rFonts w:cs="Arial"/>
          <w:szCs w:val="22"/>
        </w:rPr>
      </w:pPr>
      <w:r w:rsidRPr="005113BD">
        <w:rPr>
          <w:rFonts w:cs="Arial"/>
          <w:szCs w:val="22"/>
        </w:rPr>
        <w:t>(3) Za zalivanje zelenic in uporabo sanitarne vode je dopustna uporaba deževnice, ki naj bo zbrana v ustreznem zadrževalniku.</w:t>
      </w:r>
    </w:p>
    <w:p w:rsidR="00610BD6" w:rsidRPr="005113BD" w:rsidRDefault="00610BD6" w:rsidP="00610BD6">
      <w:pPr>
        <w:jc w:val="both"/>
        <w:rPr>
          <w:rFonts w:cs="Arial"/>
          <w:szCs w:val="22"/>
        </w:rPr>
      </w:pPr>
    </w:p>
    <w:p w:rsidR="00610BD6" w:rsidRPr="005113BD" w:rsidRDefault="00610BD6" w:rsidP="00610BD6">
      <w:pPr>
        <w:rPr>
          <w:rFonts w:cs="Arial"/>
          <w:b/>
          <w:bCs/>
          <w:szCs w:val="22"/>
        </w:rPr>
      </w:pPr>
    </w:p>
    <w:p w:rsidR="00610BD6" w:rsidRPr="005113BD" w:rsidRDefault="00610BD6" w:rsidP="00610BD6">
      <w:pPr>
        <w:jc w:val="both"/>
        <w:rPr>
          <w:rFonts w:cs="Arial"/>
          <w:bCs/>
          <w:szCs w:val="22"/>
        </w:rPr>
      </w:pPr>
      <w:r w:rsidRPr="005113BD">
        <w:rPr>
          <w:rFonts w:cs="Arial"/>
          <w:bCs/>
          <w:szCs w:val="22"/>
        </w:rPr>
        <w:t>VIII. REŠITVE IN UKREPI ZA OBRAMBO TER VARSTVO PRED NARAVNIMI IN DRUGIMI NESREČAMI, VKLJUČNO Z VARSTVOM PRED POŽAROM</w:t>
      </w:r>
    </w:p>
    <w:p w:rsidR="00610BD6" w:rsidRPr="005113BD" w:rsidRDefault="00610BD6" w:rsidP="00610BD6">
      <w:pPr>
        <w:jc w:val="both"/>
        <w:rPr>
          <w:bCs/>
          <w:szCs w:val="22"/>
        </w:rPr>
      </w:pPr>
    </w:p>
    <w:p w:rsidR="00610BD6" w:rsidRPr="005113BD" w:rsidRDefault="00610BD6" w:rsidP="00610BD6">
      <w:pPr>
        <w:tabs>
          <w:tab w:val="left" w:pos="284"/>
        </w:tabs>
        <w:jc w:val="center"/>
        <w:rPr>
          <w:rFonts w:cs="Arial"/>
          <w:bCs/>
          <w:szCs w:val="22"/>
        </w:rPr>
      </w:pPr>
      <w:r w:rsidRPr="005113BD">
        <w:rPr>
          <w:rFonts w:cs="Arial"/>
          <w:bCs/>
          <w:szCs w:val="22"/>
        </w:rPr>
        <w:t>31. člen</w:t>
      </w:r>
    </w:p>
    <w:p w:rsidR="00610BD6" w:rsidRPr="005113BD" w:rsidRDefault="00610BD6" w:rsidP="00610BD6">
      <w:pPr>
        <w:tabs>
          <w:tab w:val="left" w:pos="284"/>
        </w:tabs>
        <w:jc w:val="center"/>
        <w:rPr>
          <w:rFonts w:cs="Arial"/>
          <w:bCs/>
          <w:szCs w:val="22"/>
        </w:rPr>
      </w:pPr>
      <w:r w:rsidRPr="005113BD">
        <w:rPr>
          <w:rFonts w:cs="Arial"/>
          <w:bCs/>
          <w:szCs w:val="22"/>
        </w:rPr>
        <w:t>(splošno)</w:t>
      </w:r>
    </w:p>
    <w:p w:rsidR="00610BD6" w:rsidRPr="005113BD" w:rsidRDefault="00610BD6" w:rsidP="00610BD6">
      <w:pPr>
        <w:jc w:val="both"/>
        <w:rPr>
          <w:b/>
          <w:szCs w:val="22"/>
        </w:rPr>
      </w:pPr>
    </w:p>
    <w:p w:rsidR="00610BD6" w:rsidRPr="005113BD" w:rsidRDefault="00610BD6" w:rsidP="00610BD6">
      <w:pPr>
        <w:jc w:val="both"/>
        <w:rPr>
          <w:rFonts w:cs="Arial"/>
          <w:szCs w:val="22"/>
        </w:rPr>
      </w:pPr>
      <w:r w:rsidRPr="005113BD">
        <w:rPr>
          <w:rFonts w:cs="Arial"/>
          <w:szCs w:val="22"/>
        </w:rPr>
        <w:t xml:space="preserve">(1) Objekti morajo biti načrtovani potresno varno v skladu s cono potresne ogroženosti. </w:t>
      </w:r>
    </w:p>
    <w:p w:rsidR="00610BD6" w:rsidRPr="005113BD" w:rsidRDefault="00610BD6" w:rsidP="00610BD6">
      <w:pPr>
        <w:jc w:val="both"/>
        <w:rPr>
          <w:rFonts w:cs="Arial"/>
          <w:szCs w:val="22"/>
        </w:rPr>
      </w:pPr>
      <w:r w:rsidRPr="005113BD">
        <w:rPr>
          <w:rFonts w:cs="Arial"/>
          <w:szCs w:val="22"/>
        </w:rPr>
        <w:t>(2) Vsi objekti morajo biti projektirani v skladu z uredbo o graditvi in vzdrževanju zaklonišč. V vseh novih objektih je potrebna ojačitev prve plošče.</w:t>
      </w:r>
    </w:p>
    <w:p w:rsidR="00610BD6" w:rsidRPr="005113BD" w:rsidRDefault="00610BD6" w:rsidP="00610BD6">
      <w:pPr>
        <w:jc w:val="both"/>
        <w:rPr>
          <w:rFonts w:cs="Arial"/>
          <w:szCs w:val="22"/>
        </w:rPr>
      </w:pPr>
      <w:r w:rsidRPr="005113BD">
        <w:rPr>
          <w:rFonts w:cs="Arial"/>
          <w:szCs w:val="22"/>
        </w:rPr>
        <w:t>(3) Za zaščito pred požarom je treba zagotoviti:</w:t>
      </w:r>
    </w:p>
    <w:p w:rsidR="00610BD6" w:rsidRPr="005113BD" w:rsidRDefault="00610BD6" w:rsidP="00610BD6">
      <w:pPr>
        <w:numPr>
          <w:ilvl w:val="0"/>
          <w:numId w:val="14"/>
        </w:numPr>
        <w:ind w:left="426" w:hanging="284"/>
        <w:jc w:val="both"/>
        <w:rPr>
          <w:rFonts w:cs="Arial"/>
          <w:szCs w:val="22"/>
        </w:rPr>
      </w:pPr>
      <w:r w:rsidRPr="005113BD">
        <w:rPr>
          <w:rFonts w:cs="Arial"/>
          <w:szCs w:val="22"/>
        </w:rPr>
        <w:t>pogoje za varen umik ljudi in premoženja;</w:t>
      </w:r>
    </w:p>
    <w:p w:rsidR="00610BD6" w:rsidRPr="005113BD" w:rsidRDefault="00610BD6" w:rsidP="00610BD6">
      <w:pPr>
        <w:numPr>
          <w:ilvl w:val="0"/>
          <w:numId w:val="14"/>
        </w:numPr>
        <w:ind w:left="426" w:hanging="284"/>
        <w:jc w:val="both"/>
        <w:rPr>
          <w:rFonts w:cs="Arial"/>
          <w:szCs w:val="22"/>
        </w:rPr>
      </w:pPr>
      <w:r w:rsidRPr="005113BD">
        <w:rPr>
          <w:rFonts w:cs="Arial"/>
          <w:szCs w:val="22"/>
        </w:rPr>
        <w:t>odmike med objekti oziroma ustrezno požarno ločitev objektov z namenom preprečitve širjenja požara na sosednje objekte;</w:t>
      </w:r>
    </w:p>
    <w:p w:rsidR="00610BD6" w:rsidRPr="005113BD" w:rsidRDefault="00610BD6" w:rsidP="00610BD6">
      <w:pPr>
        <w:numPr>
          <w:ilvl w:val="0"/>
          <w:numId w:val="14"/>
        </w:numPr>
        <w:ind w:left="426" w:hanging="284"/>
        <w:jc w:val="both"/>
        <w:rPr>
          <w:rFonts w:cs="Arial"/>
          <w:szCs w:val="22"/>
        </w:rPr>
      </w:pPr>
      <w:r w:rsidRPr="005113BD">
        <w:rPr>
          <w:rFonts w:cs="Arial"/>
          <w:szCs w:val="22"/>
        </w:rPr>
        <w:t>neovirane in varne dovoze, dostope ter delovne površine za intervencijska vozila;</w:t>
      </w:r>
    </w:p>
    <w:p w:rsidR="00610BD6" w:rsidRPr="005113BD" w:rsidRDefault="00610BD6" w:rsidP="00610BD6">
      <w:pPr>
        <w:numPr>
          <w:ilvl w:val="0"/>
          <w:numId w:val="14"/>
        </w:numPr>
        <w:ind w:left="426" w:hanging="284"/>
        <w:jc w:val="both"/>
        <w:rPr>
          <w:rFonts w:cs="Arial"/>
          <w:szCs w:val="22"/>
        </w:rPr>
      </w:pPr>
      <w:r w:rsidRPr="005113BD">
        <w:rPr>
          <w:rFonts w:cs="Arial"/>
          <w:szCs w:val="22"/>
        </w:rPr>
        <w:t>vire za zadostno oskrbo z vodo za gašenje.</w:t>
      </w:r>
    </w:p>
    <w:p w:rsidR="00610BD6" w:rsidRPr="005113BD" w:rsidRDefault="00610BD6" w:rsidP="00610BD6">
      <w:pPr>
        <w:jc w:val="both"/>
        <w:rPr>
          <w:rFonts w:cs="Arial"/>
          <w:szCs w:val="22"/>
        </w:rPr>
      </w:pPr>
      <w:r w:rsidRPr="005113BD">
        <w:rPr>
          <w:rFonts w:cs="Arial"/>
          <w:szCs w:val="22"/>
        </w:rPr>
        <w:lastRenderedPageBreak/>
        <w:t>(4) Za objekte, ki so določeni v Pravilniku o študiji požarne varnosti, je treba v sklopu projektne dokumentacije PGD izdelati študijo požarne varnosti. Za objekte, za katere študija požarne varnosti ni zahtevana, mora doseganje predpisane ravni požarne varnosti izhajati iz elaborata zasnove požarne varnosti.</w:t>
      </w:r>
    </w:p>
    <w:p w:rsidR="00610BD6" w:rsidRPr="005113BD" w:rsidRDefault="00610BD6" w:rsidP="00610BD6">
      <w:pPr>
        <w:jc w:val="both"/>
        <w:rPr>
          <w:szCs w:val="22"/>
        </w:rPr>
      </w:pPr>
    </w:p>
    <w:p w:rsidR="00610BD6" w:rsidRPr="005113BD" w:rsidRDefault="00610BD6" w:rsidP="00610BD6">
      <w:pPr>
        <w:tabs>
          <w:tab w:val="left" w:pos="284"/>
        </w:tabs>
        <w:jc w:val="center"/>
        <w:rPr>
          <w:rFonts w:cs="Arial"/>
          <w:bCs/>
          <w:szCs w:val="22"/>
        </w:rPr>
      </w:pPr>
      <w:r w:rsidRPr="005113BD">
        <w:rPr>
          <w:rFonts w:cs="Arial"/>
          <w:bCs/>
          <w:szCs w:val="22"/>
        </w:rPr>
        <w:t>32. člen</w:t>
      </w:r>
    </w:p>
    <w:p w:rsidR="00610BD6" w:rsidRPr="005113BD" w:rsidRDefault="00610BD6" w:rsidP="00610BD6">
      <w:pPr>
        <w:tabs>
          <w:tab w:val="left" w:pos="284"/>
        </w:tabs>
        <w:jc w:val="center"/>
        <w:rPr>
          <w:rFonts w:cs="Arial"/>
          <w:bCs/>
          <w:szCs w:val="22"/>
        </w:rPr>
      </w:pPr>
      <w:r w:rsidRPr="005113BD">
        <w:rPr>
          <w:rFonts w:cs="Arial"/>
          <w:bCs/>
          <w:szCs w:val="22"/>
        </w:rPr>
        <w:t>(hidrantno omrežje)</w:t>
      </w:r>
    </w:p>
    <w:p w:rsidR="00610BD6" w:rsidRPr="005113BD" w:rsidRDefault="00610BD6" w:rsidP="00610BD6">
      <w:pPr>
        <w:jc w:val="both"/>
        <w:rPr>
          <w:szCs w:val="22"/>
        </w:rPr>
      </w:pPr>
    </w:p>
    <w:p w:rsidR="00610BD6" w:rsidRPr="005113BD" w:rsidRDefault="00610BD6" w:rsidP="00610BD6">
      <w:pPr>
        <w:jc w:val="both"/>
        <w:rPr>
          <w:rFonts w:cs="Arial"/>
          <w:szCs w:val="22"/>
        </w:rPr>
      </w:pPr>
      <w:r w:rsidRPr="005113BD">
        <w:rPr>
          <w:rFonts w:cs="Arial"/>
          <w:szCs w:val="22"/>
        </w:rPr>
        <w:t>Požarna zaščita predvidenih objektov je predvidena z zunanjim hidrantnim omrežjem in ustreznim številom hidrantov.</w:t>
      </w:r>
    </w:p>
    <w:p w:rsidR="00610BD6" w:rsidRPr="005113BD" w:rsidRDefault="00610BD6" w:rsidP="00610BD6">
      <w:pPr>
        <w:ind w:left="1494"/>
        <w:jc w:val="both"/>
        <w:rPr>
          <w:szCs w:val="22"/>
        </w:rPr>
      </w:pPr>
    </w:p>
    <w:p w:rsidR="00610BD6" w:rsidRPr="005113BD" w:rsidRDefault="00610BD6" w:rsidP="00610BD6">
      <w:pPr>
        <w:tabs>
          <w:tab w:val="left" w:pos="284"/>
        </w:tabs>
        <w:jc w:val="center"/>
        <w:rPr>
          <w:rFonts w:cs="Arial"/>
          <w:bCs/>
          <w:szCs w:val="22"/>
        </w:rPr>
      </w:pPr>
      <w:r w:rsidRPr="005113BD">
        <w:rPr>
          <w:rFonts w:cs="Arial"/>
          <w:bCs/>
          <w:szCs w:val="22"/>
        </w:rPr>
        <w:t>33. člen</w:t>
      </w:r>
    </w:p>
    <w:p w:rsidR="00610BD6" w:rsidRPr="005113BD" w:rsidRDefault="00610BD6" w:rsidP="00610BD6">
      <w:pPr>
        <w:tabs>
          <w:tab w:val="left" w:pos="284"/>
        </w:tabs>
        <w:jc w:val="center"/>
        <w:rPr>
          <w:rFonts w:cs="Arial"/>
          <w:bCs/>
          <w:szCs w:val="22"/>
        </w:rPr>
      </w:pPr>
      <w:r w:rsidRPr="005113BD">
        <w:rPr>
          <w:rFonts w:cs="Arial"/>
          <w:bCs/>
          <w:szCs w:val="22"/>
        </w:rPr>
        <w:t>(intervencijske poti in površine)</w:t>
      </w:r>
    </w:p>
    <w:p w:rsidR="00610BD6" w:rsidRPr="005113BD" w:rsidRDefault="00610BD6" w:rsidP="00610BD6">
      <w:pPr>
        <w:pStyle w:val="Telobesedila2"/>
        <w:tabs>
          <w:tab w:val="left" w:pos="284"/>
        </w:tabs>
        <w:rPr>
          <w:rFonts w:cs="Arial"/>
          <w:szCs w:val="22"/>
        </w:rPr>
      </w:pPr>
    </w:p>
    <w:p w:rsidR="00610BD6" w:rsidRPr="005113BD" w:rsidRDefault="00610BD6" w:rsidP="00610BD6">
      <w:pPr>
        <w:jc w:val="both"/>
        <w:rPr>
          <w:rFonts w:cs="Arial"/>
          <w:szCs w:val="22"/>
        </w:rPr>
      </w:pPr>
      <w:r w:rsidRPr="005113BD">
        <w:rPr>
          <w:rFonts w:cs="Arial"/>
          <w:szCs w:val="22"/>
        </w:rPr>
        <w:t xml:space="preserve">(1) Do vseh predvidenih objektov je treba zagotoviti dostop intervencijskih gasilskih vozil skladno z veljavno področno zakonodajo. Intervencijske poti izven vozišč morajo biti utrjene za osni pritisk 10 t. Najmanjši zunanji radij obračanja je 10,50 m. </w:t>
      </w:r>
    </w:p>
    <w:p w:rsidR="00610BD6" w:rsidRPr="005113BD" w:rsidRDefault="00610BD6" w:rsidP="00610BD6">
      <w:pPr>
        <w:jc w:val="both"/>
        <w:rPr>
          <w:rFonts w:cs="Arial"/>
          <w:szCs w:val="22"/>
        </w:rPr>
      </w:pPr>
      <w:r w:rsidRPr="005113BD">
        <w:rPr>
          <w:rFonts w:cs="Arial"/>
          <w:szCs w:val="22"/>
        </w:rPr>
        <w:t>(2) Dovoz gasilskih in drugih intervencijskih vozil je s Poti na Tojnice.</w:t>
      </w:r>
    </w:p>
    <w:p w:rsidR="00610BD6" w:rsidRPr="005113BD" w:rsidRDefault="00610BD6" w:rsidP="00610BD6">
      <w:pPr>
        <w:jc w:val="both"/>
        <w:outlineLvl w:val="0"/>
        <w:rPr>
          <w:rFonts w:cs="Arial"/>
          <w:szCs w:val="22"/>
        </w:rPr>
      </w:pPr>
      <w:r w:rsidRPr="005113BD">
        <w:rPr>
          <w:rFonts w:cs="Arial"/>
          <w:szCs w:val="22"/>
        </w:rPr>
        <w:t>(3) Na intervencijskih poteh je treba zagotoviti krožno vožnjo.</w:t>
      </w:r>
    </w:p>
    <w:p w:rsidR="00610BD6" w:rsidRPr="005113BD" w:rsidRDefault="00610BD6" w:rsidP="00610BD6">
      <w:pPr>
        <w:pStyle w:val="Telobesedila2"/>
        <w:tabs>
          <w:tab w:val="left" w:pos="284"/>
        </w:tabs>
        <w:rPr>
          <w:rFonts w:cs="Arial"/>
          <w:szCs w:val="22"/>
        </w:rPr>
      </w:pPr>
      <w:r w:rsidRPr="005113BD">
        <w:rPr>
          <w:rFonts w:cs="Arial"/>
          <w:szCs w:val="22"/>
        </w:rPr>
        <w:t>(4) V času gradnje je treba zagotoviti ustrezno ureditev dostopov in površin za delovanje intervencijskih vozil.</w:t>
      </w:r>
    </w:p>
    <w:p w:rsidR="00610BD6" w:rsidRPr="005113BD" w:rsidRDefault="00610BD6" w:rsidP="00610BD6">
      <w:pPr>
        <w:jc w:val="both"/>
        <w:rPr>
          <w:rFonts w:cs="Arial"/>
          <w:szCs w:val="22"/>
        </w:rPr>
      </w:pPr>
      <w:r w:rsidRPr="005113BD">
        <w:rPr>
          <w:rFonts w:cs="Arial"/>
          <w:szCs w:val="22"/>
        </w:rPr>
        <w:t>(5) Rešitve in ukrepi za varstvo pred naravnimi in drugimi nesrečami so določeni v grafičnem načrtu št. 4.5. »Prikaz ureditev, potrebnih za obrambo in varstvo pred naravnimi in drugimi nesrečami, ter načrt intervencijskih poti«.</w:t>
      </w:r>
    </w:p>
    <w:p w:rsidR="00610BD6" w:rsidRPr="005113BD" w:rsidRDefault="00610BD6" w:rsidP="00610BD6">
      <w:pPr>
        <w:tabs>
          <w:tab w:val="right" w:pos="8789"/>
        </w:tabs>
        <w:ind w:left="360"/>
        <w:jc w:val="both"/>
        <w:rPr>
          <w:szCs w:val="22"/>
        </w:rPr>
      </w:pPr>
    </w:p>
    <w:p w:rsidR="00610BD6" w:rsidRPr="005113BD" w:rsidRDefault="00610BD6" w:rsidP="00610BD6">
      <w:pPr>
        <w:rPr>
          <w:rFonts w:cs="Arial"/>
          <w:b/>
          <w:bCs/>
          <w:szCs w:val="22"/>
        </w:rPr>
      </w:pPr>
    </w:p>
    <w:p w:rsidR="00610BD6" w:rsidRPr="005113BD" w:rsidRDefault="00610BD6" w:rsidP="00610BD6">
      <w:pPr>
        <w:jc w:val="both"/>
        <w:rPr>
          <w:rFonts w:cs="Arial"/>
          <w:bCs/>
          <w:szCs w:val="22"/>
        </w:rPr>
      </w:pPr>
      <w:r w:rsidRPr="005113BD">
        <w:rPr>
          <w:rFonts w:cs="Arial"/>
          <w:bCs/>
          <w:szCs w:val="22"/>
        </w:rPr>
        <w:t>IX. POGOJI GLEDE PRIKLJUČEVANJA OBJEKTOV NA GOSPODARSKO JAVNO INFRASTRUKTURO IN GRAJENO JAVNO DOBRO</w:t>
      </w:r>
    </w:p>
    <w:p w:rsidR="00610BD6" w:rsidRPr="005113BD" w:rsidRDefault="00610BD6" w:rsidP="00610BD6">
      <w:pPr>
        <w:rPr>
          <w:rFonts w:cs="Arial"/>
          <w:bCs/>
          <w:szCs w:val="22"/>
        </w:rPr>
      </w:pPr>
    </w:p>
    <w:p w:rsidR="00610BD6" w:rsidRPr="005113BD" w:rsidRDefault="00610BD6" w:rsidP="00610BD6">
      <w:pPr>
        <w:tabs>
          <w:tab w:val="left" w:pos="284"/>
        </w:tabs>
        <w:jc w:val="center"/>
        <w:rPr>
          <w:rFonts w:cs="Arial"/>
          <w:bCs/>
          <w:szCs w:val="22"/>
        </w:rPr>
      </w:pPr>
      <w:r w:rsidRPr="005113BD">
        <w:rPr>
          <w:rFonts w:cs="Arial"/>
          <w:bCs/>
          <w:szCs w:val="22"/>
        </w:rPr>
        <w:t>34. člen</w:t>
      </w:r>
    </w:p>
    <w:p w:rsidR="00610BD6" w:rsidRPr="005113BD" w:rsidRDefault="00610BD6" w:rsidP="00610BD6">
      <w:pPr>
        <w:tabs>
          <w:tab w:val="left" w:pos="284"/>
        </w:tabs>
        <w:jc w:val="center"/>
        <w:rPr>
          <w:rFonts w:cs="Arial"/>
          <w:bCs/>
          <w:szCs w:val="22"/>
        </w:rPr>
      </w:pPr>
      <w:r w:rsidRPr="005113BD">
        <w:rPr>
          <w:rFonts w:cs="Arial"/>
          <w:bCs/>
          <w:szCs w:val="22"/>
        </w:rPr>
        <w:t>(splošni pogoji za prometno urejanje)</w:t>
      </w:r>
    </w:p>
    <w:p w:rsidR="00610BD6" w:rsidRPr="005113BD" w:rsidRDefault="00610BD6" w:rsidP="00610BD6">
      <w:pPr>
        <w:tabs>
          <w:tab w:val="left" w:pos="284"/>
        </w:tabs>
        <w:jc w:val="both"/>
        <w:rPr>
          <w:rFonts w:cs="Arial"/>
          <w:b/>
          <w:bCs/>
          <w:szCs w:val="22"/>
        </w:rPr>
      </w:pPr>
    </w:p>
    <w:p w:rsidR="00610BD6" w:rsidRPr="005113BD" w:rsidRDefault="00610BD6" w:rsidP="00610BD6">
      <w:pPr>
        <w:jc w:val="both"/>
        <w:rPr>
          <w:rFonts w:cs="Arial"/>
          <w:szCs w:val="22"/>
        </w:rPr>
      </w:pPr>
      <w:r w:rsidRPr="005113BD">
        <w:rPr>
          <w:rFonts w:cs="Arial"/>
          <w:szCs w:val="22"/>
        </w:rPr>
        <w:t>(1) Vsi predvideni objekti morajo imeti zagotovljen dovoz do javne ceste.</w:t>
      </w:r>
    </w:p>
    <w:p w:rsidR="00610BD6" w:rsidRPr="005113BD" w:rsidRDefault="00610BD6" w:rsidP="00610BD6">
      <w:pPr>
        <w:jc w:val="both"/>
        <w:rPr>
          <w:rFonts w:cs="Arial"/>
          <w:szCs w:val="22"/>
        </w:rPr>
      </w:pPr>
      <w:r w:rsidRPr="005113BD">
        <w:rPr>
          <w:rFonts w:cs="Arial"/>
          <w:szCs w:val="22"/>
        </w:rPr>
        <w:t>(2) Širina priključka na predvideno povezovalno cesto Bajerji–Tojnice mora zagotoviti nemoteno srečevanje in zavijanje vseh merodajnih vozil, ki se bodo uporabljala na obravnavanem območju.</w:t>
      </w:r>
    </w:p>
    <w:p w:rsidR="00610BD6" w:rsidRPr="005113BD" w:rsidRDefault="00610BD6" w:rsidP="00610BD6">
      <w:pPr>
        <w:jc w:val="both"/>
        <w:rPr>
          <w:rFonts w:cs="Arial"/>
          <w:szCs w:val="22"/>
        </w:rPr>
      </w:pPr>
      <w:r w:rsidRPr="005113BD">
        <w:rPr>
          <w:rFonts w:cs="Arial"/>
          <w:szCs w:val="22"/>
        </w:rPr>
        <w:t>(3) Načrtovani objekti ne smejo ovirati preglednega trikotnika.</w:t>
      </w:r>
    </w:p>
    <w:p w:rsidR="00610BD6" w:rsidRPr="005113BD" w:rsidRDefault="00610BD6" w:rsidP="00610BD6">
      <w:pPr>
        <w:jc w:val="both"/>
        <w:rPr>
          <w:rFonts w:cs="Arial"/>
          <w:szCs w:val="22"/>
        </w:rPr>
      </w:pPr>
      <w:r w:rsidRPr="005113BD">
        <w:rPr>
          <w:rFonts w:cs="Arial"/>
          <w:szCs w:val="22"/>
        </w:rPr>
        <w:t>(4) Obračanje vozil oziroma manipulacijska prometna površina mora biti zagotovljena na parceli, namenjeni gradnji objekta, tako da je omogočeno čelno vključevanje vozil na javne ceste.</w:t>
      </w:r>
    </w:p>
    <w:p w:rsidR="00610BD6" w:rsidRPr="005113BD" w:rsidRDefault="00610BD6" w:rsidP="00610BD6">
      <w:pPr>
        <w:jc w:val="both"/>
        <w:rPr>
          <w:rFonts w:cs="Arial"/>
          <w:szCs w:val="22"/>
        </w:rPr>
      </w:pPr>
      <w:r w:rsidRPr="005113BD">
        <w:rPr>
          <w:rFonts w:cs="Arial"/>
          <w:szCs w:val="22"/>
        </w:rPr>
        <w:t xml:space="preserve">(5) Glavni dostopi do objektov, primarne površine za pešce, parkirni prostori ter druge površine in objekti morajo biti urejeni tako, da so uporabni tudi za funkcionalno ovirane ljudi. </w:t>
      </w:r>
    </w:p>
    <w:p w:rsidR="00610BD6" w:rsidRPr="005113BD" w:rsidRDefault="00610BD6" w:rsidP="00610BD6">
      <w:pPr>
        <w:jc w:val="both"/>
        <w:rPr>
          <w:rFonts w:cs="Arial"/>
          <w:szCs w:val="22"/>
        </w:rPr>
      </w:pPr>
      <w:r w:rsidRPr="005113BD">
        <w:rPr>
          <w:rFonts w:cs="Arial"/>
          <w:szCs w:val="22"/>
        </w:rPr>
        <w:t xml:space="preserve">(6) Na parceli namenjeni gradnji predvidenih objektov je treba zagotoviti zadostne parkirne površine za zaposlene in obiskovalce. </w:t>
      </w:r>
    </w:p>
    <w:p w:rsidR="00610BD6" w:rsidRPr="005113BD" w:rsidRDefault="00610BD6" w:rsidP="00610BD6">
      <w:pPr>
        <w:jc w:val="both"/>
        <w:rPr>
          <w:rFonts w:cs="Arial"/>
          <w:szCs w:val="22"/>
        </w:rPr>
      </w:pPr>
      <w:r w:rsidRPr="005113BD">
        <w:rPr>
          <w:rFonts w:cs="Arial"/>
          <w:szCs w:val="22"/>
        </w:rPr>
        <w:t>(7) Vse prometne površine morajo biti načrtovane v skladu z veljavnimi predpisi.</w:t>
      </w:r>
    </w:p>
    <w:p w:rsidR="00610BD6" w:rsidRPr="005113BD" w:rsidRDefault="00610BD6" w:rsidP="00610BD6">
      <w:pPr>
        <w:jc w:val="both"/>
        <w:rPr>
          <w:rFonts w:cs="Arial"/>
          <w:szCs w:val="22"/>
        </w:rPr>
      </w:pPr>
      <w:r w:rsidRPr="005113BD">
        <w:rPr>
          <w:rFonts w:cs="Arial"/>
          <w:szCs w:val="22"/>
        </w:rPr>
        <w:t>(8) Zaradi načrtovanih ureditev ne sme biti onemogočeno ali ovirano izvajanje rednih vzdrževalnih del na avtocesti in na njenih spremljajočih objektih in prometnicah.</w:t>
      </w:r>
    </w:p>
    <w:p w:rsidR="00610BD6" w:rsidRPr="005113BD" w:rsidRDefault="00610BD6" w:rsidP="00610BD6">
      <w:pPr>
        <w:jc w:val="both"/>
        <w:rPr>
          <w:rFonts w:cs="Arial"/>
          <w:szCs w:val="22"/>
        </w:rPr>
      </w:pPr>
      <w:r w:rsidRPr="005113BD">
        <w:rPr>
          <w:rFonts w:cs="Arial"/>
          <w:szCs w:val="22"/>
        </w:rPr>
        <w:t>(9) Investitor je dolžan vse morebitne poškodbe v varovalnem pasu avtoceste takoj povrniti v prvotno stanje na lastne stroške.</w:t>
      </w:r>
    </w:p>
    <w:p w:rsidR="00610BD6" w:rsidRPr="005113BD" w:rsidRDefault="00610BD6" w:rsidP="00610BD6">
      <w:pPr>
        <w:jc w:val="both"/>
        <w:rPr>
          <w:rFonts w:cs="Arial"/>
          <w:szCs w:val="22"/>
        </w:rPr>
      </w:pPr>
    </w:p>
    <w:p w:rsidR="00610BD6" w:rsidRPr="005113BD" w:rsidRDefault="00610BD6" w:rsidP="00610BD6">
      <w:pPr>
        <w:tabs>
          <w:tab w:val="left" w:pos="284"/>
        </w:tabs>
        <w:jc w:val="center"/>
        <w:rPr>
          <w:rFonts w:cs="Arial"/>
          <w:bCs/>
          <w:szCs w:val="22"/>
        </w:rPr>
      </w:pPr>
      <w:r w:rsidRPr="005113BD">
        <w:rPr>
          <w:rFonts w:cs="Arial"/>
          <w:bCs/>
          <w:szCs w:val="22"/>
        </w:rPr>
        <w:t>35. člen</w:t>
      </w:r>
    </w:p>
    <w:p w:rsidR="00610BD6" w:rsidRPr="005113BD" w:rsidRDefault="00610BD6" w:rsidP="00610BD6">
      <w:pPr>
        <w:tabs>
          <w:tab w:val="left" w:pos="284"/>
        </w:tabs>
        <w:jc w:val="center"/>
        <w:rPr>
          <w:rFonts w:cs="Arial"/>
          <w:bCs/>
          <w:szCs w:val="22"/>
        </w:rPr>
      </w:pPr>
      <w:r w:rsidRPr="005113BD">
        <w:rPr>
          <w:rFonts w:cs="Arial"/>
          <w:bCs/>
          <w:szCs w:val="22"/>
        </w:rPr>
        <w:t>(motorni promet)</w:t>
      </w:r>
    </w:p>
    <w:p w:rsidR="00610BD6" w:rsidRPr="005113BD" w:rsidRDefault="00610BD6" w:rsidP="00610BD6">
      <w:pPr>
        <w:jc w:val="both"/>
        <w:rPr>
          <w:szCs w:val="22"/>
        </w:rPr>
      </w:pPr>
    </w:p>
    <w:p w:rsidR="00610BD6" w:rsidRPr="005113BD" w:rsidRDefault="00610BD6" w:rsidP="00610BD6">
      <w:pPr>
        <w:jc w:val="both"/>
        <w:rPr>
          <w:rFonts w:cs="Arial"/>
          <w:szCs w:val="22"/>
        </w:rPr>
      </w:pPr>
      <w:r w:rsidRPr="005113BD">
        <w:rPr>
          <w:rFonts w:cs="Arial"/>
          <w:szCs w:val="22"/>
        </w:rPr>
        <w:t>(1) Območje OPPN se na južni strani preko predvidenega priključka navezuje na lokalno zbirno cesto Pot na Tojnice (LC 466091).</w:t>
      </w:r>
    </w:p>
    <w:p w:rsidR="00610BD6" w:rsidRPr="005113BD" w:rsidRDefault="00610BD6" w:rsidP="00610BD6">
      <w:pPr>
        <w:jc w:val="both"/>
        <w:rPr>
          <w:rFonts w:cs="Arial"/>
          <w:szCs w:val="22"/>
        </w:rPr>
      </w:pPr>
      <w:r w:rsidRPr="005113BD">
        <w:rPr>
          <w:rFonts w:cs="Arial"/>
          <w:szCs w:val="22"/>
        </w:rPr>
        <w:lastRenderedPageBreak/>
        <w:t>(2) Izvede se nova dovozna cesta, ki bo potekala od severa proti jugu vzdolž območja OPPN in se bo navezala na zbirno mestno oz. krajevno cesto (LC 466091).</w:t>
      </w:r>
    </w:p>
    <w:p w:rsidR="00610BD6" w:rsidRPr="005113BD" w:rsidRDefault="00610BD6" w:rsidP="00610BD6">
      <w:pPr>
        <w:jc w:val="both"/>
        <w:rPr>
          <w:rFonts w:cs="Arial"/>
          <w:szCs w:val="22"/>
        </w:rPr>
      </w:pPr>
      <w:r w:rsidRPr="005113BD">
        <w:rPr>
          <w:rFonts w:cs="Arial"/>
          <w:szCs w:val="22"/>
        </w:rPr>
        <w:t>(3) Prečni profil dovozne ceste:</w:t>
      </w:r>
    </w:p>
    <w:p w:rsidR="00610BD6" w:rsidRPr="005113BD" w:rsidRDefault="00610BD6" w:rsidP="00610BD6">
      <w:pPr>
        <w:numPr>
          <w:ilvl w:val="0"/>
          <w:numId w:val="1"/>
        </w:numPr>
        <w:ind w:left="0" w:firstLine="0"/>
        <w:jc w:val="both"/>
        <w:rPr>
          <w:rFonts w:cs="Arial"/>
          <w:szCs w:val="22"/>
        </w:rPr>
      </w:pPr>
      <w:r w:rsidRPr="005113BD">
        <w:rPr>
          <w:rFonts w:cs="Arial"/>
          <w:szCs w:val="22"/>
        </w:rPr>
        <w:t xml:space="preserve">varovalni pas </w:t>
      </w:r>
      <w:r w:rsidRPr="005113BD">
        <w:rPr>
          <w:rFonts w:cs="Arial"/>
          <w:szCs w:val="22"/>
        </w:rPr>
        <w:tab/>
        <w:t>1 x 1,00 m</w:t>
      </w:r>
    </w:p>
    <w:p w:rsidR="00610BD6" w:rsidRPr="005113BD" w:rsidRDefault="00610BD6" w:rsidP="00610BD6">
      <w:pPr>
        <w:numPr>
          <w:ilvl w:val="0"/>
          <w:numId w:val="1"/>
        </w:numPr>
        <w:ind w:left="0" w:firstLine="0"/>
        <w:jc w:val="both"/>
        <w:rPr>
          <w:rFonts w:cs="Arial"/>
          <w:szCs w:val="22"/>
        </w:rPr>
      </w:pPr>
      <w:r w:rsidRPr="005113BD">
        <w:rPr>
          <w:rFonts w:cs="Arial"/>
          <w:szCs w:val="22"/>
        </w:rPr>
        <w:t>vozišče</w:t>
      </w:r>
      <w:r w:rsidRPr="005113BD">
        <w:rPr>
          <w:rFonts w:cs="Arial"/>
          <w:szCs w:val="22"/>
        </w:rPr>
        <w:tab/>
      </w:r>
      <w:r w:rsidRPr="005113BD">
        <w:rPr>
          <w:rFonts w:cs="Arial"/>
          <w:szCs w:val="22"/>
        </w:rPr>
        <w:tab/>
        <w:t>2 x 3,50 m = 7,00 m</w:t>
      </w:r>
    </w:p>
    <w:p w:rsidR="00610BD6" w:rsidRPr="005113BD" w:rsidRDefault="00610BD6" w:rsidP="00610BD6">
      <w:pPr>
        <w:numPr>
          <w:ilvl w:val="0"/>
          <w:numId w:val="1"/>
        </w:numPr>
        <w:ind w:left="0" w:firstLine="0"/>
        <w:jc w:val="both"/>
        <w:rPr>
          <w:rFonts w:cs="Arial"/>
          <w:szCs w:val="22"/>
        </w:rPr>
      </w:pPr>
      <w:r w:rsidRPr="005113BD">
        <w:rPr>
          <w:rFonts w:cs="Arial"/>
          <w:szCs w:val="22"/>
        </w:rPr>
        <w:t xml:space="preserve">varovalni pas </w:t>
      </w:r>
      <w:r w:rsidRPr="005113BD">
        <w:rPr>
          <w:rFonts w:cs="Arial"/>
          <w:szCs w:val="22"/>
        </w:rPr>
        <w:tab/>
        <w:t>1 x 1,00 m</w:t>
      </w:r>
    </w:p>
    <w:p w:rsidR="00610BD6" w:rsidRPr="005113BD" w:rsidRDefault="00610BD6" w:rsidP="00610BD6">
      <w:pPr>
        <w:jc w:val="both"/>
        <w:rPr>
          <w:rFonts w:cs="Arial"/>
          <w:szCs w:val="22"/>
        </w:rPr>
      </w:pPr>
      <w:r w:rsidRPr="005113BD">
        <w:rPr>
          <w:rFonts w:cs="Arial"/>
          <w:szCs w:val="22"/>
        </w:rPr>
        <w:t>(4) Prometne površine in cestni priključek je treba opremiti s predpisano vertikalno in talno prometno signalizacijo.</w:t>
      </w:r>
    </w:p>
    <w:p w:rsidR="00610BD6" w:rsidRPr="005113BD" w:rsidRDefault="00610BD6" w:rsidP="00610BD6">
      <w:pPr>
        <w:jc w:val="both"/>
        <w:rPr>
          <w:rFonts w:cs="Arial"/>
          <w:szCs w:val="22"/>
        </w:rPr>
      </w:pPr>
      <w:r w:rsidRPr="005113BD">
        <w:rPr>
          <w:rFonts w:cs="Arial"/>
          <w:szCs w:val="22"/>
        </w:rPr>
        <w:t xml:space="preserve">(5) Odvodnjavanje padavinskih vod s prometnih površin je treba ustrezno urediti s prečnimi in vzdolžnimi skloni ter preko </w:t>
      </w:r>
      <w:proofErr w:type="spellStart"/>
      <w:r w:rsidRPr="005113BD">
        <w:rPr>
          <w:rFonts w:cs="Arial"/>
          <w:szCs w:val="22"/>
        </w:rPr>
        <w:t>vtočnih</w:t>
      </w:r>
      <w:proofErr w:type="spellEnd"/>
      <w:r w:rsidRPr="005113BD">
        <w:rPr>
          <w:rFonts w:cs="Arial"/>
          <w:szCs w:val="22"/>
        </w:rPr>
        <w:t xml:space="preserve"> jaškov in lovilca olj v meteorne kanale, ki bodo navezani na obstoječo meteorno kanalizacijo.</w:t>
      </w:r>
    </w:p>
    <w:p w:rsidR="00610BD6" w:rsidRPr="005113BD" w:rsidRDefault="00610BD6" w:rsidP="00610BD6">
      <w:pPr>
        <w:jc w:val="both"/>
        <w:rPr>
          <w:rFonts w:cs="Arial"/>
          <w:szCs w:val="22"/>
        </w:rPr>
      </w:pPr>
      <w:r w:rsidRPr="005113BD">
        <w:rPr>
          <w:rFonts w:cs="Arial"/>
          <w:szCs w:val="22"/>
        </w:rPr>
        <w:t>(6) Odvodnjavanje iz objektov in utrjenih površin na parcelah namenjenih za gradnjo je potrebno urediti tako, da meteorne in druge vode ne bodo pritekale na cestišče ali na njej zastajale, prav tako predvidena ureditev ne sme ovirati odtekanje vode s ceste.</w:t>
      </w:r>
    </w:p>
    <w:p w:rsidR="00610BD6" w:rsidRPr="005113BD" w:rsidRDefault="00610BD6" w:rsidP="00610BD6">
      <w:pPr>
        <w:tabs>
          <w:tab w:val="left" w:pos="0"/>
        </w:tabs>
        <w:jc w:val="both"/>
        <w:rPr>
          <w:rFonts w:cs="Arial"/>
          <w:szCs w:val="22"/>
        </w:rPr>
      </w:pPr>
      <w:r w:rsidRPr="005113BD">
        <w:rPr>
          <w:rFonts w:cs="Arial"/>
          <w:szCs w:val="22"/>
        </w:rPr>
        <w:t>(7) Prometno omrežje je razvidno iz grafičnega načrta št. 4.4 »Prometno tehnična situacija in idejna višinska regulacija«.</w:t>
      </w:r>
    </w:p>
    <w:p w:rsidR="00610BD6" w:rsidRPr="005113BD" w:rsidRDefault="00610BD6" w:rsidP="00610BD6">
      <w:pPr>
        <w:tabs>
          <w:tab w:val="left" w:pos="540"/>
        </w:tabs>
        <w:ind w:left="540" w:hanging="540"/>
        <w:rPr>
          <w:rFonts w:cs="Arial"/>
          <w:b/>
          <w:bCs/>
          <w:szCs w:val="22"/>
        </w:rPr>
      </w:pPr>
    </w:p>
    <w:p w:rsidR="00610BD6" w:rsidRPr="005113BD" w:rsidRDefault="00610BD6" w:rsidP="00610BD6">
      <w:pPr>
        <w:tabs>
          <w:tab w:val="left" w:pos="284"/>
        </w:tabs>
        <w:jc w:val="center"/>
        <w:rPr>
          <w:rFonts w:cs="Arial"/>
          <w:bCs/>
          <w:szCs w:val="22"/>
        </w:rPr>
      </w:pPr>
      <w:r w:rsidRPr="005113BD">
        <w:rPr>
          <w:rFonts w:cs="Arial"/>
          <w:bCs/>
          <w:szCs w:val="22"/>
        </w:rPr>
        <w:t>36. člen</w:t>
      </w:r>
    </w:p>
    <w:p w:rsidR="00610BD6" w:rsidRPr="005113BD" w:rsidRDefault="00610BD6" w:rsidP="00610BD6">
      <w:pPr>
        <w:tabs>
          <w:tab w:val="left" w:pos="284"/>
        </w:tabs>
        <w:jc w:val="center"/>
        <w:rPr>
          <w:rFonts w:cs="Arial"/>
          <w:bCs/>
          <w:szCs w:val="22"/>
        </w:rPr>
      </w:pPr>
      <w:r w:rsidRPr="005113BD">
        <w:rPr>
          <w:rFonts w:cs="Arial"/>
          <w:bCs/>
          <w:szCs w:val="22"/>
        </w:rPr>
        <w:t>(mirujoči promet)</w:t>
      </w:r>
    </w:p>
    <w:p w:rsidR="00610BD6" w:rsidRPr="005113BD" w:rsidRDefault="00610BD6" w:rsidP="00610BD6">
      <w:pPr>
        <w:tabs>
          <w:tab w:val="left" w:pos="284"/>
        </w:tabs>
        <w:jc w:val="center"/>
        <w:rPr>
          <w:rFonts w:cs="Arial"/>
          <w:b/>
          <w:bCs/>
          <w:szCs w:val="22"/>
        </w:rPr>
      </w:pPr>
    </w:p>
    <w:p w:rsidR="00610BD6" w:rsidRPr="005113BD" w:rsidRDefault="00610BD6" w:rsidP="00610BD6">
      <w:pPr>
        <w:jc w:val="both"/>
        <w:outlineLvl w:val="0"/>
        <w:rPr>
          <w:rFonts w:cs="Arial"/>
          <w:szCs w:val="22"/>
        </w:rPr>
      </w:pPr>
      <w:r w:rsidRPr="005113BD">
        <w:rPr>
          <w:rFonts w:cs="Arial"/>
          <w:szCs w:val="22"/>
        </w:rPr>
        <w:t>(1) Parkirna mesta za zaposlene in obiskovalce so predvidena na odprtih utrjenih površinah.</w:t>
      </w:r>
    </w:p>
    <w:p w:rsidR="00610BD6" w:rsidRPr="005113BD" w:rsidRDefault="00610BD6" w:rsidP="00610BD6">
      <w:pPr>
        <w:jc w:val="both"/>
        <w:outlineLvl w:val="0"/>
        <w:rPr>
          <w:rFonts w:cs="Arial"/>
          <w:szCs w:val="22"/>
        </w:rPr>
      </w:pPr>
      <w:r w:rsidRPr="005113BD">
        <w:rPr>
          <w:rFonts w:cs="Arial"/>
          <w:szCs w:val="22"/>
        </w:rPr>
        <w:t>(2) Pri novogradnjah je treba pri izračunu potrebnih parkirnih mest za osebna vozila upoštevati naslednje normative:</w:t>
      </w:r>
    </w:p>
    <w:p w:rsidR="00610BD6" w:rsidRPr="005113BD" w:rsidRDefault="00610BD6" w:rsidP="00610BD6">
      <w:pPr>
        <w:numPr>
          <w:ilvl w:val="0"/>
          <w:numId w:val="3"/>
        </w:numPr>
        <w:tabs>
          <w:tab w:val="clear" w:pos="927"/>
          <w:tab w:val="num" w:pos="284"/>
        </w:tabs>
        <w:ind w:left="284" w:hanging="284"/>
        <w:jc w:val="both"/>
        <w:outlineLvl w:val="0"/>
        <w:rPr>
          <w:rFonts w:cs="Arial"/>
          <w:szCs w:val="22"/>
        </w:rPr>
      </w:pPr>
      <w:r w:rsidRPr="005113BD">
        <w:rPr>
          <w:rFonts w:cs="Arial"/>
          <w:szCs w:val="22"/>
        </w:rPr>
        <w:t>1 parkirno mesto na 30 m</w:t>
      </w:r>
      <w:r w:rsidRPr="005113BD">
        <w:rPr>
          <w:rFonts w:cs="Arial"/>
          <w:szCs w:val="22"/>
          <w:vertAlign w:val="superscript"/>
        </w:rPr>
        <w:t>2</w:t>
      </w:r>
      <w:r w:rsidRPr="005113BD">
        <w:rPr>
          <w:rFonts w:cs="Arial"/>
          <w:szCs w:val="22"/>
        </w:rPr>
        <w:t xml:space="preserve"> BTP za industrijske stavbe do 200 m</w:t>
      </w:r>
      <w:r w:rsidRPr="005113BD">
        <w:rPr>
          <w:rFonts w:cs="Arial"/>
          <w:szCs w:val="22"/>
          <w:vertAlign w:val="superscript"/>
        </w:rPr>
        <w:t>2</w:t>
      </w:r>
      <w:r w:rsidRPr="005113BD">
        <w:rPr>
          <w:rFonts w:cs="Arial"/>
          <w:szCs w:val="22"/>
        </w:rPr>
        <w:t>, a ne manj kot 2 PM;</w:t>
      </w:r>
    </w:p>
    <w:p w:rsidR="00610BD6" w:rsidRPr="005113BD" w:rsidRDefault="00610BD6" w:rsidP="00610BD6">
      <w:pPr>
        <w:numPr>
          <w:ilvl w:val="0"/>
          <w:numId w:val="3"/>
        </w:numPr>
        <w:tabs>
          <w:tab w:val="clear" w:pos="927"/>
          <w:tab w:val="num" w:pos="284"/>
        </w:tabs>
        <w:ind w:left="284" w:hanging="284"/>
        <w:jc w:val="both"/>
        <w:outlineLvl w:val="0"/>
        <w:rPr>
          <w:rFonts w:cs="Arial"/>
          <w:szCs w:val="22"/>
        </w:rPr>
      </w:pPr>
      <w:r w:rsidRPr="005113BD">
        <w:rPr>
          <w:rFonts w:cs="Arial"/>
          <w:szCs w:val="22"/>
        </w:rPr>
        <w:t>1 parkirno mesto na 50 m</w:t>
      </w:r>
      <w:r w:rsidRPr="005113BD">
        <w:rPr>
          <w:rFonts w:cs="Arial"/>
          <w:szCs w:val="22"/>
          <w:vertAlign w:val="superscript"/>
        </w:rPr>
        <w:t>2</w:t>
      </w:r>
      <w:r w:rsidRPr="005113BD">
        <w:rPr>
          <w:rFonts w:cs="Arial"/>
          <w:szCs w:val="22"/>
        </w:rPr>
        <w:t xml:space="preserve"> BTP za industrijske stavbe nad 200 m</w:t>
      </w:r>
      <w:r w:rsidRPr="005113BD">
        <w:rPr>
          <w:rFonts w:cs="Arial"/>
          <w:szCs w:val="22"/>
          <w:vertAlign w:val="superscript"/>
        </w:rPr>
        <w:t>2</w:t>
      </w:r>
      <w:r w:rsidRPr="005113BD">
        <w:rPr>
          <w:rFonts w:cs="Arial"/>
          <w:szCs w:val="22"/>
        </w:rPr>
        <w:t>;</w:t>
      </w:r>
    </w:p>
    <w:p w:rsidR="00610BD6" w:rsidRPr="005113BD" w:rsidRDefault="00610BD6" w:rsidP="00610BD6">
      <w:pPr>
        <w:numPr>
          <w:ilvl w:val="0"/>
          <w:numId w:val="3"/>
        </w:numPr>
        <w:tabs>
          <w:tab w:val="clear" w:pos="927"/>
          <w:tab w:val="num" w:pos="284"/>
        </w:tabs>
        <w:ind w:left="284" w:hanging="284"/>
        <w:jc w:val="both"/>
        <w:outlineLvl w:val="0"/>
        <w:rPr>
          <w:rFonts w:cs="Arial"/>
          <w:szCs w:val="22"/>
        </w:rPr>
      </w:pPr>
      <w:r w:rsidRPr="005113BD">
        <w:rPr>
          <w:rFonts w:cs="Arial"/>
          <w:szCs w:val="22"/>
        </w:rPr>
        <w:t>najmanj 3 PM za rezervoarje, silose in skladišča brez strank;</w:t>
      </w:r>
    </w:p>
    <w:p w:rsidR="00610BD6" w:rsidRPr="005113BD" w:rsidRDefault="00610BD6" w:rsidP="00610BD6">
      <w:pPr>
        <w:numPr>
          <w:ilvl w:val="0"/>
          <w:numId w:val="3"/>
        </w:numPr>
        <w:tabs>
          <w:tab w:val="clear" w:pos="927"/>
          <w:tab w:val="num" w:pos="284"/>
        </w:tabs>
        <w:ind w:left="284" w:hanging="284"/>
        <w:jc w:val="both"/>
        <w:outlineLvl w:val="0"/>
        <w:rPr>
          <w:rFonts w:cs="Arial"/>
          <w:szCs w:val="22"/>
        </w:rPr>
      </w:pPr>
      <w:r w:rsidRPr="005113BD">
        <w:rPr>
          <w:rFonts w:cs="Arial"/>
          <w:szCs w:val="22"/>
        </w:rPr>
        <w:t>1 parkirno mesto na 80 m</w:t>
      </w:r>
      <w:r w:rsidRPr="005113BD">
        <w:rPr>
          <w:rFonts w:cs="Arial"/>
          <w:szCs w:val="22"/>
          <w:vertAlign w:val="superscript"/>
        </w:rPr>
        <w:t>2</w:t>
      </w:r>
      <w:r w:rsidRPr="005113BD">
        <w:rPr>
          <w:rFonts w:cs="Arial"/>
          <w:szCs w:val="22"/>
        </w:rPr>
        <w:t xml:space="preserve"> BTP za rezervoarje, silose in skladišča z razstavnimi in prodajnimi prostori;</w:t>
      </w:r>
    </w:p>
    <w:p w:rsidR="00610BD6" w:rsidRPr="005113BD" w:rsidRDefault="00610BD6" w:rsidP="00610BD6">
      <w:pPr>
        <w:numPr>
          <w:ilvl w:val="0"/>
          <w:numId w:val="3"/>
        </w:numPr>
        <w:tabs>
          <w:tab w:val="clear" w:pos="927"/>
          <w:tab w:val="num" w:pos="284"/>
        </w:tabs>
        <w:ind w:left="284" w:hanging="284"/>
        <w:jc w:val="both"/>
        <w:outlineLvl w:val="0"/>
        <w:rPr>
          <w:rFonts w:cs="Arial"/>
          <w:szCs w:val="22"/>
        </w:rPr>
      </w:pPr>
      <w:r w:rsidRPr="005113BD">
        <w:rPr>
          <w:rFonts w:cs="Arial"/>
          <w:szCs w:val="22"/>
        </w:rPr>
        <w:t>6 parkirnih mest na popravljalno mesto za delavnice za servis motornih vozil;</w:t>
      </w:r>
    </w:p>
    <w:p w:rsidR="00610BD6" w:rsidRPr="005113BD" w:rsidRDefault="00610BD6" w:rsidP="00610BD6">
      <w:pPr>
        <w:numPr>
          <w:ilvl w:val="0"/>
          <w:numId w:val="3"/>
        </w:numPr>
        <w:tabs>
          <w:tab w:val="clear" w:pos="927"/>
          <w:tab w:val="num" w:pos="284"/>
        </w:tabs>
        <w:ind w:left="284" w:hanging="284"/>
        <w:jc w:val="both"/>
        <w:outlineLvl w:val="0"/>
        <w:rPr>
          <w:rFonts w:cs="Arial"/>
          <w:szCs w:val="22"/>
        </w:rPr>
      </w:pPr>
      <w:r w:rsidRPr="005113BD">
        <w:rPr>
          <w:rFonts w:cs="Arial"/>
          <w:szCs w:val="22"/>
        </w:rPr>
        <w:t>1 parkirno mesto na 30 m</w:t>
      </w:r>
      <w:r w:rsidRPr="005113BD">
        <w:rPr>
          <w:rFonts w:cs="Arial"/>
          <w:szCs w:val="22"/>
          <w:vertAlign w:val="superscript"/>
        </w:rPr>
        <w:t>2</w:t>
      </w:r>
      <w:r w:rsidRPr="005113BD">
        <w:rPr>
          <w:rFonts w:cs="Arial"/>
          <w:szCs w:val="22"/>
        </w:rPr>
        <w:t xml:space="preserve"> BTP za obrtno servisne dejavnosti, a ne manj kot 2 PM;</w:t>
      </w:r>
    </w:p>
    <w:p w:rsidR="00610BD6" w:rsidRPr="005113BD" w:rsidRDefault="00610BD6" w:rsidP="00610BD6">
      <w:pPr>
        <w:numPr>
          <w:ilvl w:val="0"/>
          <w:numId w:val="3"/>
        </w:numPr>
        <w:tabs>
          <w:tab w:val="clear" w:pos="927"/>
          <w:tab w:val="num" w:pos="284"/>
        </w:tabs>
        <w:ind w:left="284" w:hanging="284"/>
        <w:jc w:val="both"/>
        <w:outlineLvl w:val="0"/>
        <w:rPr>
          <w:rFonts w:cs="Arial"/>
          <w:szCs w:val="22"/>
        </w:rPr>
      </w:pPr>
      <w:r w:rsidRPr="005113BD">
        <w:rPr>
          <w:rFonts w:cs="Arial"/>
          <w:szCs w:val="22"/>
        </w:rPr>
        <w:t>1 parkirno mesto na 30 m</w:t>
      </w:r>
      <w:r w:rsidRPr="005113BD">
        <w:rPr>
          <w:rFonts w:cs="Arial"/>
          <w:szCs w:val="22"/>
          <w:vertAlign w:val="superscript"/>
        </w:rPr>
        <w:t>2</w:t>
      </w:r>
      <w:r w:rsidRPr="005113BD">
        <w:rPr>
          <w:rFonts w:cs="Arial"/>
          <w:szCs w:val="22"/>
        </w:rPr>
        <w:t xml:space="preserve"> BTP za upravne in pisarniške stavbe, stavbe bank, pošt in zavarovalnic ter trgovske lokale do 100 m</w:t>
      </w:r>
      <w:r w:rsidRPr="005113BD">
        <w:rPr>
          <w:rFonts w:cs="Arial"/>
          <w:szCs w:val="22"/>
          <w:vertAlign w:val="superscript"/>
        </w:rPr>
        <w:t>2</w:t>
      </w:r>
      <w:r w:rsidRPr="005113BD">
        <w:rPr>
          <w:rFonts w:cs="Arial"/>
          <w:szCs w:val="22"/>
        </w:rPr>
        <w:t xml:space="preserve"> BTP, a ne manj kot 2 PM;</w:t>
      </w:r>
    </w:p>
    <w:p w:rsidR="00610BD6" w:rsidRPr="005113BD" w:rsidRDefault="00610BD6" w:rsidP="00610BD6">
      <w:pPr>
        <w:numPr>
          <w:ilvl w:val="0"/>
          <w:numId w:val="3"/>
        </w:numPr>
        <w:tabs>
          <w:tab w:val="clear" w:pos="927"/>
          <w:tab w:val="num" w:pos="284"/>
        </w:tabs>
        <w:ind w:left="284" w:hanging="284"/>
        <w:jc w:val="both"/>
        <w:outlineLvl w:val="0"/>
        <w:rPr>
          <w:rFonts w:cs="Arial"/>
          <w:szCs w:val="22"/>
        </w:rPr>
      </w:pPr>
      <w:r w:rsidRPr="005113BD">
        <w:rPr>
          <w:rFonts w:cs="Arial"/>
          <w:szCs w:val="22"/>
        </w:rPr>
        <w:t>1 parkirno mesto na 50 m</w:t>
      </w:r>
      <w:r w:rsidRPr="005113BD">
        <w:rPr>
          <w:rFonts w:cs="Arial"/>
          <w:szCs w:val="22"/>
          <w:vertAlign w:val="superscript"/>
        </w:rPr>
        <w:t>2</w:t>
      </w:r>
      <w:r w:rsidRPr="005113BD">
        <w:rPr>
          <w:rFonts w:cs="Arial"/>
          <w:szCs w:val="22"/>
        </w:rPr>
        <w:t xml:space="preserve"> BTP za trgovske stavbe med 100 in 500 m</w:t>
      </w:r>
      <w:r w:rsidRPr="005113BD">
        <w:rPr>
          <w:rFonts w:cs="Arial"/>
          <w:szCs w:val="22"/>
          <w:vertAlign w:val="superscript"/>
        </w:rPr>
        <w:t>2</w:t>
      </w:r>
      <w:r w:rsidRPr="005113BD">
        <w:rPr>
          <w:rFonts w:cs="Arial"/>
          <w:szCs w:val="22"/>
        </w:rPr>
        <w:t xml:space="preserve"> BTP, a ne manj kot 4 PM;</w:t>
      </w:r>
    </w:p>
    <w:p w:rsidR="00610BD6" w:rsidRPr="005113BD" w:rsidRDefault="00610BD6" w:rsidP="00610BD6">
      <w:pPr>
        <w:numPr>
          <w:ilvl w:val="0"/>
          <w:numId w:val="3"/>
        </w:numPr>
        <w:tabs>
          <w:tab w:val="clear" w:pos="927"/>
          <w:tab w:val="num" w:pos="284"/>
        </w:tabs>
        <w:ind w:left="284" w:hanging="284"/>
        <w:jc w:val="both"/>
        <w:outlineLvl w:val="0"/>
        <w:rPr>
          <w:rFonts w:cs="Arial"/>
          <w:szCs w:val="22"/>
        </w:rPr>
      </w:pPr>
      <w:r w:rsidRPr="005113BD">
        <w:rPr>
          <w:rFonts w:cs="Arial"/>
          <w:szCs w:val="22"/>
        </w:rPr>
        <w:t>1 parkirno mesto na 80 m</w:t>
      </w:r>
      <w:r w:rsidRPr="005113BD">
        <w:rPr>
          <w:rFonts w:cs="Arial"/>
          <w:szCs w:val="22"/>
          <w:vertAlign w:val="superscript"/>
        </w:rPr>
        <w:t>2</w:t>
      </w:r>
      <w:r w:rsidRPr="005113BD">
        <w:rPr>
          <w:rFonts w:cs="Arial"/>
          <w:szCs w:val="22"/>
        </w:rPr>
        <w:t xml:space="preserve"> BTP za trgovine z </w:t>
      </w:r>
      <w:proofErr w:type="spellStart"/>
      <w:r w:rsidRPr="005113BD">
        <w:rPr>
          <w:rFonts w:cs="Arial"/>
          <w:szCs w:val="22"/>
        </w:rPr>
        <w:t>neprehrambenimi</w:t>
      </w:r>
      <w:proofErr w:type="spellEnd"/>
      <w:r w:rsidRPr="005113BD">
        <w:rPr>
          <w:rFonts w:cs="Arial"/>
          <w:szCs w:val="22"/>
        </w:rPr>
        <w:t xml:space="preserve"> izdelki, a ne manj kot 2 PM;</w:t>
      </w:r>
    </w:p>
    <w:p w:rsidR="00610BD6" w:rsidRPr="005113BD" w:rsidRDefault="00610BD6" w:rsidP="00610BD6">
      <w:pPr>
        <w:numPr>
          <w:ilvl w:val="0"/>
          <w:numId w:val="3"/>
        </w:numPr>
        <w:tabs>
          <w:tab w:val="clear" w:pos="927"/>
          <w:tab w:val="num" w:pos="284"/>
        </w:tabs>
        <w:ind w:left="284" w:hanging="284"/>
        <w:jc w:val="both"/>
        <w:outlineLvl w:val="0"/>
        <w:rPr>
          <w:rFonts w:cs="Arial"/>
          <w:szCs w:val="22"/>
        </w:rPr>
      </w:pPr>
      <w:r w:rsidRPr="005113BD">
        <w:rPr>
          <w:rFonts w:cs="Arial"/>
          <w:szCs w:val="22"/>
        </w:rPr>
        <w:t>1 parkirno mesto na 4 sedeže ter 1 PM na tekoči meter točilnega pulta za gostilne, restavracije, točilnice in bare, a ne manj kot 5 PM.</w:t>
      </w:r>
    </w:p>
    <w:p w:rsidR="00610BD6" w:rsidRPr="005113BD" w:rsidRDefault="00610BD6" w:rsidP="00610BD6">
      <w:pPr>
        <w:jc w:val="both"/>
        <w:rPr>
          <w:rFonts w:cs="Arial"/>
          <w:szCs w:val="22"/>
        </w:rPr>
      </w:pPr>
      <w:r w:rsidRPr="005113BD">
        <w:rPr>
          <w:rFonts w:cs="Arial"/>
          <w:szCs w:val="22"/>
        </w:rPr>
        <w:t>(3) Najmanj 5 % parkirnih mest mora biti namenjenih vozilom funkcionalno oviranih ljudi, ki morajo biti dimenzije 3,00 x 5,00 m.</w:t>
      </w:r>
    </w:p>
    <w:p w:rsidR="00610BD6" w:rsidRPr="005113BD" w:rsidRDefault="00610BD6" w:rsidP="00610BD6">
      <w:pPr>
        <w:jc w:val="both"/>
        <w:rPr>
          <w:rFonts w:cs="Arial"/>
          <w:szCs w:val="22"/>
        </w:rPr>
      </w:pPr>
      <w:r w:rsidRPr="005113BD">
        <w:rPr>
          <w:rFonts w:cs="Arial"/>
          <w:szCs w:val="22"/>
        </w:rPr>
        <w:t>(4) Najmanjša dovoljena dimenzija parkirnega mesta za osebni avto znaša 2,50 x 5,00 m.</w:t>
      </w:r>
    </w:p>
    <w:p w:rsidR="00610BD6" w:rsidRPr="005113BD" w:rsidRDefault="00610BD6" w:rsidP="00610BD6">
      <w:pPr>
        <w:jc w:val="both"/>
        <w:rPr>
          <w:rFonts w:cs="Arial"/>
          <w:szCs w:val="22"/>
        </w:rPr>
      </w:pPr>
      <w:r w:rsidRPr="005113BD">
        <w:rPr>
          <w:rFonts w:cs="Arial"/>
          <w:szCs w:val="22"/>
        </w:rPr>
        <w:t>(5) Površine parkirnih mest, manipulativnih površin in platojev morajo biti utrjene, tako da so nepropustne za vodo in naftne derivate. Zagotovljeno mora biti odvajanje meteornih vod preko peskolovov in lovilcev olj.</w:t>
      </w:r>
    </w:p>
    <w:p w:rsidR="00610BD6" w:rsidRPr="005113BD" w:rsidRDefault="00610BD6" w:rsidP="00610BD6">
      <w:pPr>
        <w:jc w:val="both"/>
        <w:rPr>
          <w:rFonts w:cs="Arial"/>
          <w:szCs w:val="22"/>
        </w:rPr>
      </w:pPr>
      <w:r w:rsidRPr="005113BD">
        <w:rPr>
          <w:rFonts w:cs="Arial"/>
          <w:szCs w:val="22"/>
        </w:rPr>
        <w:t>(6) V primeru skupnega parkirišča za objekte z različnimi dejavnostmi je treba upoštevati največje potrebe po istočasnem parkiranju.</w:t>
      </w:r>
    </w:p>
    <w:p w:rsidR="00610BD6" w:rsidRPr="005113BD" w:rsidRDefault="00610BD6" w:rsidP="00610BD6">
      <w:pPr>
        <w:pStyle w:val="Telobesedila2"/>
        <w:tabs>
          <w:tab w:val="left" w:pos="284"/>
        </w:tabs>
        <w:rPr>
          <w:rFonts w:cs="Arial"/>
          <w:szCs w:val="22"/>
        </w:rPr>
      </w:pPr>
    </w:p>
    <w:p w:rsidR="00610BD6" w:rsidRPr="005113BD" w:rsidRDefault="00610BD6" w:rsidP="00610BD6">
      <w:pPr>
        <w:tabs>
          <w:tab w:val="left" w:pos="284"/>
        </w:tabs>
        <w:jc w:val="center"/>
        <w:rPr>
          <w:rFonts w:cs="Arial"/>
          <w:bCs/>
          <w:szCs w:val="22"/>
        </w:rPr>
      </w:pPr>
      <w:r w:rsidRPr="005113BD">
        <w:rPr>
          <w:rFonts w:cs="Arial"/>
          <w:bCs/>
          <w:szCs w:val="22"/>
        </w:rPr>
        <w:t>37. člen</w:t>
      </w:r>
    </w:p>
    <w:p w:rsidR="00610BD6" w:rsidRPr="005113BD" w:rsidRDefault="00610BD6" w:rsidP="00610BD6">
      <w:pPr>
        <w:tabs>
          <w:tab w:val="left" w:pos="284"/>
        </w:tabs>
        <w:jc w:val="center"/>
        <w:rPr>
          <w:rFonts w:cs="Arial"/>
          <w:bCs/>
          <w:szCs w:val="22"/>
        </w:rPr>
      </w:pPr>
      <w:r w:rsidRPr="005113BD">
        <w:rPr>
          <w:rFonts w:cs="Arial"/>
          <w:bCs/>
          <w:szCs w:val="22"/>
        </w:rPr>
        <w:t>(kolesarski in peš promet)</w:t>
      </w:r>
    </w:p>
    <w:p w:rsidR="00610BD6" w:rsidRPr="005113BD" w:rsidRDefault="00610BD6" w:rsidP="00610BD6">
      <w:pPr>
        <w:tabs>
          <w:tab w:val="left" w:pos="284"/>
        </w:tabs>
        <w:jc w:val="center"/>
        <w:rPr>
          <w:rFonts w:cs="Arial"/>
          <w:bCs/>
          <w:szCs w:val="22"/>
        </w:rPr>
      </w:pPr>
    </w:p>
    <w:p w:rsidR="00610BD6" w:rsidRPr="005113BD" w:rsidRDefault="00610BD6" w:rsidP="00610BD6">
      <w:pPr>
        <w:jc w:val="both"/>
        <w:rPr>
          <w:rFonts w:cs="Arial"/>
          <w:szCs w:val="22"/>
        </w:rPr>
      </w:pPr>
      <w:r w:rsidRPr="005113BD">
        <w:rPr>
          <w:rFonts w:cs="Arial"/>
          <w:szCs w:val="22"/>
        </w:rPr>
        <w:t xml:space="preserve">Za pešce in kolesarje ni predvidenih ločenih površin. </w:t>
      </w:r>
    </w:p>
    <w:p w:rsidR="00610BD6" w:rsidRPr="005113BD" w:rsidRDefault="00610BD6" w:rsidP="00610BD6">
      <w:pPr>
        <w:jc w:val="center"/>
        <w:rPr>
          <w:rFonts w:cs="Arial"/>
          <w:szCs w:val="22"/>
        </w:rPr>
      </w:pPr>
    </w:p>
    <w:p w:rsidR="00610BD6" w:rsidRPr="005113BD" w:rsidRDefault="00610BD6" w:rsidP="00610BD6">
      <w:pPr>
        <w:tabs>
          <w:tab w:val="left" w:pos="284"/>
        </w:tabs>
        <w:jc w:val="center"/>
        <w:rPr>
          <w:rFonts w:cs="Arial"/>
          <w:bCs/>
          <w:szCs w:val="22"/>
        </w:rPr>
      </w:pPr>
      <w:r w:rsidRPr="005113BD">
        <w:rPr>
          <w:rFonts w:cs="Arial"/>
          <w:bCs/>
          <w:szCs w:val="22"/>
        </w:rPr>
        <w:t>38. člen</w:t>
      </w:r>
    </w:p>
    <w:p w:rsidR="00610BD6" w:rsidRPr="005113BD" w:rsidRDefault="00610BD6" w:rsidP="00610BD6">
      <w:pPr>
        <w:tabs>
          <w:tab w:val="left" w:pos="284"/>
        </w:tabs>
        <w:jc w:val="center"/>
        <w:rPr>
          <w:rFonts w:cs="Arial"/>
          <w:bCs/>
          <w:szCs w:val="22"/>
        </w:rPr>
      </w:pPr>
      <w:r w:rsidRPr="005113BD">
        <w:rPr>
          <w:rFonts w:cs="Arial"/>
          <w:bCs/>
          <w:szCs w:val="22"/>
        </w:rPr>
        <w:t>(splošni pogoji za komunalno, energetsko in telekomunikacijsko urejanje)</w:t>
      </w:r>
    </w:p>
    <w:p w:rsidR="00610BD6" w:rsidRPr="005113BD" w:rsidRDefault="00610BD6" w:rsidP="00610BD6">
      <w:pPr>
        <w:jc w:val="both"/>
        <w:rPr>
          <w:b/>
          <w:bCs/>
          <w:szCs w:val="22"/>
        </w:rPr>
      </w:pPr>
    </w:p>
    <w:p w:rsidR="00610BD6" w:rsidRPr="005113BD" w:rsidRDefault="00610BD6" w:rsidP="00610BD6">
      <w:pPr>
        <w:jc w:val="both"/>
        <w:rPr>
          <w:rFonts w:cs="Arial"/>
          <w:szCs w:val="22"/>
        </w:rPr>
      </w:pPr>
      <w:r w:rsidRPr="005113BD">
        <w:rPr>
          <w:rFonts w:cs="Arial"/>
          <w:szCs w:val="22"/>
        </w:rPr>
        <w:lastRenderedPageBreak/>
        <w:t>(1) Splošni pogoji za potek in gradnjo komunalne, energetske in telekomunikacijske infrastrukture so:</w:t>
      </w:r>
    </w:p>
    <w:p w:rsidR="00610BD6" w:rsidRPr="005113BD" w:rsidRDefault="00610BD6" w:rsidP="00610BD6">
      <w:pPr>
        <w:numPr>
          <w:ilvl w:val="0"/>
          <w:numId w:val="4"/>
        </w:numPr>
        <w:tabs>
          <w:tab w:val="clear" w:pos="927"/>
        </w:tabs>
        <w:ind w:left="220" w:hanging="220"/>
        <w:jc w:val="both"/>
        <w:rPr>
          <w:rFonts w:cs="Arial"/>
          <w:szCs w:val="22"/>
        </w:rPr>
      </w:pPr>
      <w:r w:rsidRPr="005113BD">
        <w:rPr>
          <w:rFonts w:cs="Arial"/>
          <w:szCs w:val="22"/>
        </w:rPr>
        <w:t>objekti morajo biti priključeni na obstoječe in predvideno komunalno, energetsko in telekomunikacijsko infrastrukturno omrežje. Priključitev bo izvedena po pogojih posameznih upravljavcev vodov;</w:t>
      </w:r>
    </w:p>
    <w:p w:rsidR="00610BD6" w:rsidRPr="005113BD" w:rsidRDefault="00610BD6" w:rsidP="00610BD6">
      <w:pPr>
        <w:numPr>
          <w:ilvl w:val="0"/>
          <w:numId w:val="4"/>
        </w:numPr>
        <w:tabs>
          <w:tab w:val="clear" w:pos="927"/>
        </w:tabs>
        <w:ind w:left="220" w:hanging="220"/>
        <w:jc w:val="both"/>
        <w:rPr>
          <w:rFonts w:cs="Arial"/>
          <w:szCs w:val="22"/>
        </w:rPr>
      </w:pPr>
      <w:r w:rsidRPr="005113BD">
        <w:rPr>
          <w:rFonts w:cs="Arial"/>
          <w:szCs w:val="22"/>
        </w:rPr>
        <w:t>praviloma morajo vsi sekundarni in primarni vodi potekati po javno dostopnih površinah tako, da je omogočeno vzdrževanje infrastrukturnih objektov in naprav. Pri tem je treba posebno pozornost nameniti zadostnim in ustreznim odmikom od obstoječih komunalnih, energetskih in telekomunikacijskih vodov in naprav;</w:t>
      </w:r>
    </w:p>
    <w:p w:rsidR="00610BD6" w:rsidRPr="005113BD" w:rsidRDefault="00610BD6" w:rsidP="00610BD6">
      <w:pPr>
        <w:numPr>
          <w:ilvl w:val="0"/>
          <w:numId w:val="4"/>
        </w:numPr>
        <w:tabs>
          <w:tab w:val="clear" w:pos="927"/>
        </w:tabs>
        <w:ind w:left="220" w:hanging="220"/>
        <w:jc w:val="both"/>
        <w:rPr>
          <w:rFonts w:cs="Arial"/>
          <w:szCs w:val="22"/>
        </w:rPr>
      </w:pPr>
      <w:r w:rsidRPr="005113BD">
        <w:rPr>
          <w:rFonts w:cs="Arial"/>
          <w:szCs w:val="22"/>
        </w:rPr>
        <w:t>v primeru, da potek infrastrukture ni po javnih površinah, mora lastnik prizadetega zemljišča omogočiti izvedbo in vzdrževanje javnih vodov na njegovem zemljišču, upravljavec posameznega voda pa mora za to od lastnika pridobiti služnost;</w:t>
      </w:r>
    </w:p>
    <w:p w:rsidR="00610BD6" w:rsidRPr="005113BD" w:rsidRDefault="00610BD6" w:rsidP="00610BD6">
      <w:pPr>
        <w:numPr>
          <w:ilvl w:val="0"/>
          <w:numId w:val="4"/>
        </w:numPr>
        <w:tabs>
          <w:tab w:val="clear" w:pos="927"/>
        </w:tabs>
        <w:ind w:left="220" w:hanging="220"/>
        <w:jc w:val="both"/>
        <w:rPr>
          <w:rFonts w:cs="Arial"/>
          <w:szCs w:val="22"/>
        </w:rPr>
      </w:pPr>
      <w:r w:rsidRPr="005113BD">
        <w:rPr>
          <w:rFonts w:cs="Arial"/>
          <w:szCs w:val="22"/>
        </w:rPr>
        <w:t>gradnja naprav in objektov mora potekati usklajeno;</w:t>
      </w:r>
    </w:p>
    <w:p w:rsidR="00610BD6" w:rsidRPr="005113BD" w:rsidRDefault="00610BD6" w:rsidP="00610BD6">
      <w:pPr>
        <w:numPr>
          <w:ilvl w:val="0"/>
          <w:numId w:val="4"/>
        </w:numPr>
        <w:tabs>
          <w:tab w:val="clear" w:pos="927"/>
        </w:tabs>
        <w:ind w:left="220" w:hanging="220"/>
        <w:jc w:val="both"/>
        <w:rPr>
          <w:rFonts w:cs="Arial"/>
          <w:szCs w:val="22"/>
        </w:rPr>
      </w:pPr>
      <w:r w:rsidRPr="005113BD">
        <w:rPr>
          <w:rFonts w:cs="Arial"/>
          <w:szCs w:val="22"/>
        </w:rPr>
        <w:t>dopustne so spremembe tras posameznih vodov, objektov in naprav ter priključkov zaradi ustreznejše oskrbe in racionalnejše izrabe prostora;</w:t>
      </w:r>
    </w:p>
    <w:p w:rsidR="00610BD6" w:rsidRPr="005113BD" w:rsidRDefault="00610BD6" w:rsidP="00610BD6">
      <w:pPr>
        <w:numPr>
          <w:ilvl w:val="0"/>
          <w:numId w:val="4"/>
        </w:numPr>
        <w:tabs>
          <w:tab w:val="clear" w:pos="927"/>
        </w:tabs>
        <w:ind w:left="220" w:hanging="220"/>
        <w:jc w:val="both"/>
        <w:rPr>
          <w:rFonts w:cs="Arial"/>
          <w:szCs w:val="22"/>
        </w:rPr>
      </w:pPr>
      <w:r w:rsidRPr="005113BD">
        <w:rPr>
          <w:rFonts w:cs="Arial"/>
          <w:szCs w:val="22"/>
        </w:rPr>
        <w:t>dopustna je uporaba alternativnih virov za energetsko oskrbo objektov (geotermalna, sončna energija ipd.) v skladu s predpisi, ki urejajo to področje;</w:t>
      </w:r>
    </w:p>
    <w:p w:rsidR="00610BD6" w:rsidRPr="005113BD" w:rsidRDefault="00610BD6" w:rsidP="00610BD6">
      <w:pPr>
        <w:numPr>
          <w:ilvl w:val="0"/>
          <w:numId w:val="4"/>
        </w:numPr>
        <w:tabs>
          <w:tab w:val="clear" w:pos="927"/>
        </w:tabs>
        <w:ind w:left="220" w:hanging="220"/>
        <w:jc w:val="both"/>
        <w:rPr>
          <w:rFonts w:cs="Arial"/>
          <w:szCs w:val="22"/>
        </w:rPr>
      </w:pPr>
      <w:r w:rsidRPr="005113BD">
        <w:rPr>
          <w:rFonts w:cs="Arial"/>
          <w:szCs w:val="22"/>
        </w:rPr>
        <w:t>obstoječe vode v območju je dopustno obnavljati, dograjevati in jim povečevati zmogljivost v skladu s prostorskimi in okoljskimi možnostmi ter ob upoštevanju veljavnih predpisov.</w:t>
      </w:r>
    </w:p>
    <w:p w:rsidR="00610BD6" w:rsidRPr="005113BD" w:rsidRDefault="00610BD6" w:rsidP="00610BD6">
      <w:pPr>
        <w:jc w:val="both"/>
        <w:rPr>
          <w:rFonts w:cs="Arial"/>
          <w:szCs w:val="22"/>
        </w:rPr>
      </w:pPr>
      <w:r w:rsidRPr="005113BD">
        <w:rPr>
          <w:rFonts w:cs="Arial"/>
          <w:szCs w:val="22"/>
        </w:rPr>
        <w:t>(2) Potek komunalnih, energetskih in telekomunikacijskih vodov in naprav je razviden iz grafičnega načrta št. 4.3. »Komunalna ureditev«.</w:t>
      </w:r>
    </w:p>
    <w:p w:rsidR="00610BD6" w:rsidRPr="005113BD" w:rsidRDefault="00610BD6" w:rsidP="00610BD6">
      <w:pPr>
        <w:jc w:val="both"/>
        <w:rPr>
          <w:rFonts w:cs="Arial"/>
          <w:szCs w:val="22"/>
        </w:rPr>
      </w:pPr>
    </w:p>
    <w:p w:rsidR="00610BD6" w:rsidRPr="005113BD" w:rsidRDefault="00610BD6" w:rsidP="00610BD6">
      <w:pPr>
        <w:tabs>
          <w:tab w:val="left" w:pos="284"/>
        </w:tabs>
        <w:jc w:val="center"/>
        <w:rPr>
          <w:rFonts w:cs="Arial"/>
          <w:bCs/>
          <w:szCs w:val="22"/>
        </w:rPr>
      </w:pPr>
      <w:r w:rsidRPr="005113BD">
        <w:rPr>
          <w:rFonts w:cs="Arial"/>
          <w:bCs/>
          <w:szCs w:val="22"/>
        </w:rPr>
        <w:t>39. člen</w:t>
      </w:r>
    </w:p>
    <w:p w:rsidR="00610BD6" w:rsidRPr="005113BD" w:rsidRDefault="00610BD6" w:rsidP="00610BD6">
      <w:pPr>
        <w:tabs>
          <w:tab w:val="left" w:pos="284"/>
        </w:tabs>
        <w:jc w:val="center"/>
        <w:rPr>
          <w:rFonts w:cs="Arial"/>
          <w:bCs/>
          <w:szCs w:val="22"/>
        </w:rPr>
      </w:pPr>
      <w:r w:rsidRPr="005113BD">
        <w:rPr>
          <w:rFonts w:cs="Arial"/>
          <w:bCs/>
          <w:szCs w:val="22"/>
        </w:rPr>
        <w:t>(kanalizacijsko omrežje)</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 xml:space="preserve">(1) Na območju OPPN poteka gravitacijski kanal za odvajanje odpadne vode – kanal F, dimenzije DN900, ki je zgrajen iz salonitnih cevi. Kanal poteka iz severne smeri vzdolž avtocestnega odseka Vrhnika–Ljubljana proti čistilni napravi Vrhnika. Na južni strani območja OPPN poteka po cesti iz zahodne strani proti čistilni napravi še gravitacijski kanal dimenzije DN800, ki prečka območje OPPN na vzhodni strani. </w:t>
      </w:r>
    </w:p>
    <w:p w:rsidR="00610BD6" w:rsidRPr="005113BD" w:rsidRDefault="00610BD6" w:rsidP="00610BD6">
      <w:pPr>
        <w:jc w:val="both"/>
        <w:rPr>
          <w:rFonts w:cs="Arial"/>
          <w:szCs w:val="22"/>
        </w:rPr>
      </w:pPr>
      <w:r w:rsidRPr="005113BD">
        <w:rPr>
          <w:rFonts w:cs="Arial"/>
          <w:szCs w:val="22"/>
        </w:rPr>
        <w:t>(2) Varovalni pas kanala znaša 3,0 m od osi na vsako stran kanala v skupni širini 6,0 m. V območju varovalnega pasu niso dovoljeni gradbeni posegi, gradnja ograj, podpornih zidov, nasipov in izvedba večjih izkopov, ki bi lahko vplivali na fizične lastnosti kanala.</w:t>
      </w:r>
    </w:p>
    <w:p w:rsidR="00610BD6" w:rsidRPr="005113BD" w:rsidRDefault="00610BD6" w:rsidP="00610BD6">
      <w:pPr>
        <w:jc w:val="both"/>
        <w:rPr>
          <w:rFonts w:cs="Arial"/>
          <w:szCs w:val="22"/>
        </w:rPr>
      </w:pPr>
      <w:r w:rsidRPr="005113BD">
        <w:rPr>
          <w:rFonts w:cs="Arial"/>
          <w:szCs w:val="22"/>
        </w:rPr>
        <w:t>(3) Za čas gradnje v industrijski coni Tojnice 1 je potrebno izdelati projekt – elaborat varovanja obstoječega kanala, kjer se predvidi varovanje kanala F pred vplivi gradnje. V času gradnje je potrebno zagotoviti 24 urno nemoteno odvajanje komunalne odpadne vode.</w:t>
      </w:r>
    </w:p>
    <w:p w:rsidR="00610BD6" w:rsidRPr="005113BD" w:rsidRDefault="00610BD6" w:rsidP="00610BD6">
      <w:pPr>
        <w:jc w:val="both"/>
        <w:rPr>
          <w:rFonts w:cs="Arial"/>
          <w:szCs w:val="22"/>
        </w:rPr>
      </w:pPr>
      <w:r w:rsidRPr="005113BD">
        <w:rPr>
          <w:rFonts w:cs="Arial"/>
          <w:szCs w:val="22"/>
        </w:rPr>
        <w:t>(4) Na območju, kjer je predvidena gradnja objektov na območju kanala F oz. na njegovem varovalnem pasu, je predvidena prestavitev kanala. Prestavitev bo možna v primeru, da to dopuščata hidravlični izračun in višinski potek trase prestavljenega kanala. Za prestavitev kanala F je potrebno izdelati projektno dokumentacijo skladno z veljavno zakonodajo.</w:t>
      </w:r>
    </w:p>
    <w:p w:rsidR="00610BD6" w:rsidRPr="005113BD" w:rsidRDefault="00610BD6" w:rsidP="00610BD6">
      <w:pPr>
        <w:jc w:val="both"/>
        <w:rPr>
          <w:rFonts w:cs="Arial"/>
          <w:szCs w:val="22"/>
        </w:rPr>
      </w:pPr>
      <w:r w:rsidRPr="005113BD">
        <w:rPr>
          <w:rFonts w:cs="Arial"/>
          <w:szCs w:val="22"/>
        </w:rPr>
        <w:t>(5) Za predvidene objekte znotraj območja OPPN za industrijsko cono Tojnice 1 je predviden ločen sistem kanalizacije za odvod komunalne odpadne vode in za odvod padavinske odpadne vode.</w:t>
      </w:r>
    </w:p>
    <w:p w:rsidR="00610BD6" w:rsidRPr="005113BD" w:rsidRDefault="00610BD6" w:rsidP="00610BD6">
      <w:pPr>
        <w:jc w:val="both"/>
        <w:rPr>
          <w:rFonts w:cs="Arial"/>
          <w:szCs w:val="22"/>
        </w:rPr>
      </w:pPr>
      <w:r w:rsidRPr="005113BD">
        <w:rPr>
          <w:rFonts w:cs="Arial"/>
          <w:szCs w:val="22"/>
        </w:rPr>
        <w:t>(6) Za odvod komunalnih odpadnih vod iz predvidenih objektov je zasnovan javni kanal za komunalne odpadne vode – kanal S. Trasa kanala je zasnovana po dovozni cesti v prostorski enoti C1. Javni kanal za komunalne odpadne vode se priključi na javni kanal DN800, ki je predviden za rekonstrukcijo v sklopu ureditve nove lokalne zbirne ceste Pot na Tojnice (LC 466091), skladno z določili Odloka o občinskem podrobnem prostorskem načrtu za povezovalno cesto Bajerji–Tojnice z mostom čez Ljubljanico. Priključek javnega kanala S se izvede preko revizijskega jaška na kanalu DN800. Po dovozni cesti prostorske enote P3 je zasnovana stranska veja javnega kanala za odvod komunalnih odpadnih vod – kanal S1, ki se priključuje na kanal S preko revizijskega jaška.</w:t>
      </w:r>
    </w:p>
    <w:p w:rsidR="00610BD6" w:rsidRPr="005113BD" w:rsidRDefault="00610BD6" w:rsidP="00610BD6">
      <w:pPr>
        <w:jc w:val="both"/>
        <w:rPr>
          <w:rFonts w:cs="Arial"/>
          <w:szCs w:val="22"/>
        </w:rPr>
      </w:pPr>
      <w:r w:rsidRPr="005113BD">
        <w:rPr>
          <w:rFonts w:cs="Arial"/>
          <w:szCs w:val="22"/>
        </w:rPr>
        <w:t>(7) Odvod komunalne odpadne vode iz predvidenih objektov v prostorskih enotah P1, P2 in P3 se izvede preko interne kanalizacije objektov in odcepov hišnih priključkov na zasnovana javna kanala S in S1.</w:t>
      </w:r>
    </w:p>
    <w:p w:rsidR="00610BD6" w:rsidRPr="005113BD" w:rsidRDefault="00610BD6" w:rsidP="00610BD6">
      <w:pPr>
        <w:jc w:val="both"/>
        <w:rPr>
          <w:rFonts w:cs="Arial"/>
          <w:szCs w:val="22"/>
        </w:rPr>
      </w:pPr>
      <w:r w:rsidRPr="005113BD">
        <w:rPr>
          <w:rFonts w:cs="Arial"/>
          <w:szCs w:val="22"/>
        </w:rPr>
        <w:lastRenderedPageBreak/>
        <w:t xml:space="preserve">(8) Vsi kanali morajo biti vodotesni, zato je pri gradnji potrebno uporabiti materiale, ki to zagotavljajo. Za izgradnjo kanalov se uporabijo PVC cevi vrste E, razreda trdnosti SN 8 (enoslojne) oziroma cevi, ki imajo identične karakteristike. Revizijski jaški do globine 1,5 m so minimalne dimenzije fi 80 cm. Jaški, ki so globlji od 1,5 m, so minimalne dimenzije fi 100 cm. Vsi jaški morajo biti pokriti s pokrovi ustrezne nosilnosti in vedno dostopni za pregled in čiščenje kanalizacijskega sistema. Za vse objekte, za katere obstoji nevarnost preplavitve zaradi visoke vode v javnem kanalu, je potrebno predvideti ustrezno zaščito (povratno zaklopko). </w:t>
      </w:r>
    </w:p>
    <w:p w:rsidR="00610BD6" w:rsidRPr="005113BD" w:rsidRDefault="00610BD6" w:rsidP="00610BD6">
      <w:pPr>
        <w:jc w:val="both"/>
        <w:rPr>
          <w:rFonts w:cs="Arial"/>
          <w:szCs w:val="22"/>
        </w:rPr>
      </w:pPr>
      <w:r w:rsidRPr="005113BD">
        <w:rPr>
          <w:rFonts w:cs="Arial"/>
          <w:szCs w:val="22"/>
        </w:rPr>
        <w:t>(9) Nad kanalizacijskimi vodi niso dovoljeni gradbeni posegi, gradnja ograj, podpornih zidov in ostalih komunalnih vodov. Prav tako nad javno kanalizacijo in v bližini le te ni dovoljena zasaditev dreves in grmovnic.</w:t>
      </w:r>
    </w:p>
    <w:p w:rsidR="00610BD6" w:rsidRPr="005113BD" w:rsidRDefault="00610BD6" w:rsidP="00610BD6">
      <w:pPr>
        <w:jc w:val="both"/>
        <w:rPr>
          <w:rFonts w:cs="Arial"/>
          <w:szCs w:val="22"/>
        </w:rPr>
      </w:pPr>
      <w:r w:rsidRPr="005113BD">
        <w:rPr>
          <w:rFonts w:cs="Arial"/>
          <w:szCs w:val="22"/>
        </w:rPr>
        <w:t>(10) Padavinske odpadne vode je treba voditi ločeno od komunalnih odpadnih vod. Odvajanje padavinskih odpadnih vod z asfaltiranih manipulativnih površin je treba projektirati preko peskolovov in ustrezno dimenzioniranih lovilcev olj.</w:t>
      </w:r>
    </w:p>
    <w:p w:rsidR="00610BD6" w:rsidRPr="005113BD" w:rsidRDefault="00610BD6" w:rsidP="00610BD6">
      <w:pPr>
        <w:jc w:val="both"/>
        <w:rPr>
          <w:rFonts w:cs="Arial"/>
          <w:szCs w:val="22"/>
        </w:rPr>
      </w:pPr>
      <w:r w:rsidRPr="005113BD">
        <w:rPr>
          <w:rFonts w:cs="Arial"/>
          <w:szCs w:val="22"/>
        </w:rPr>
        <w:t>(11) Pri zasnovi kanalizacije za padavinske vode z javnih cest in parkirišč je potrebno upoštevati veljavno področno zakonodajo.</w:t>
      </w:r>
    </w:p>
    <w:p w:rsidR="00610BD6" w:rsidRPr="005113BD" w:rsidRDefault="00610BD6" w:rsidP="00610BD6">
      <w:pPr>
        <w:jc w:val="both"/>
        <w:rPr>
          <w:rFonts w:cs="Arial"/>
          <w:szCs w:val="22"/>
        </w:rPr>
      </w:pPr>
      <w:r w:rsidRPr="005113BD">
        <w:rPr>
          <w:rFonts w:cs="Arial"/>
          <w:szCs w:val="22"/>
        </w:rPr>
        <w:t xml:space="preserve">(12) Padavinske vode z asfaltiranih manipulativnih površin in s streh objektov se vodijo v odprti vodotok (Ljubljanico) skladno z veljavno zakonodajo in pod pogoji upravljavca odprtega vodotoka. </w:t>
      </w:r>
    </w:p>
    <w:p w:rsidR="00610BD6" w:rsidRPr="005113BD" w:rsidRDefault="00610BD6" w:rsidP="00610BD6">
      <w:pPr>
        <w:rPr>
          <w:rFonts w:cs="Arial"/>
          <w:szCs w:val="22"/>
        </w:rPr>
      </w:pPr>
      <w:r w:rsidRPr="005113BD">
        <w:rPr>
          <w:rFonts w:cs="Arial"/>
          <w:szCs w:val="22"/>
        </w:rPr>
        <w:t>(13) Na kanalizacijskem omrežju za padavinsko vodo je predvideno zadrževanje odpadne vode. Zadrževanje vode je predvideno preko cevnega zadrževalnika iz kanalizacijskih cevi DN 1400 mm. Predvidena je postavitev dveh cevi vzporedno na dolžini 75 m, torej v skupni dolžini 150 m. Na iztoku iz zadrževalnika je zasnovana dušilka, ki prepušča omejeno količino padavinske vode v odvodnik. Na ustrezni višini v zadrževalniku je predviden varnostni preliv.</w:t>
      </w:r>
    </w:p>
    <w:p w:rsidR="00610BD6" w:rsidRPr="005113BD" w:rsidRDefault="00610BD6" w:rsidP="00610BD6">
      <w:pPr>
        <w:rPr>
          <w:rFonts w:cs="Arial"/>
          <w:szCs w:val="22"/>
        </w:rPr>
      </w:pPr>
      <w:r w:rsidRPr="005113BD">
        <w:rPr>
          <w:rFonts w:cs="Arial"/>
          <w:szCs w:val="22"/>
        </w:rPr>
        <w:t>(14) Meteorna voda z objektov in pripadajočih površin ne sme biti speljana v naprave za odvodnjavanje avtoceste. Izvedba odvodnjavanja ne sme poslabšati ali ogroziti obstoječega sistema odvodnjavanja avtoceste.</w:t>
      </w:r>
    </w:p>
    <w:p w:rsidR="00610BD6" w:rsidRPr="005113BD" w:rsidRDefault="00610BD6" w:rsidP="00610BD6">
      <w:pPr>
        <w:jc w:val="both"/>
        <w:rPr>
          <w:rFonts w:cs="Arial"/>
          <w:szCs w:val="22"/>
        </w:rPr>
      </w:pPr>
      <w:r w:rsidRPr="005113BD">
        <w:rPr>
          <w:rFonts w:cs="Arial"/>
          <w:szCs w:val="22"/>
        </w:rPr>
        <w:t>(15) Pred pričetkom projektiranja je potrebno izdelati geodetski posnetek obstoječih kanalizacijskih vodov in pridobiti podatke o njih pri upravljalcu javnega kanalizacijskega omrežja. V času gradnje je potrebno zagotoviti nemoteno delovanje obstoječega kanalizacijskega omrežja.</w:t>
      </w:r>
    </w:p>
    <w:p w:rsidR="00610BD6" w:rsidRPr="005113BD" w:rsidRDefault="00610BD6" w:rsidP="00610BD6">
      <w:pPr>
        <w:jc w:val="both"/>
        <w:rPr>
          <w:rFonts w:cs="Arial"/>
          <w:szCs w:val="22"/>
        </w:rPr>
      </w:pPr>
      <w:r w:rsidRPr="005113BD">
        <w:rPr>
          <w:rFonts w:cs="Arial"/>
          <w:szCs w:val="22"/>
        </w:rPr>
        <w:t>(16) Križanja kanalizacije z ostalimi komunalnimi vodi morajo biti izvedena v skladu s tehničnimi predpisi, normativi in Pravilnikom o tehnični izvedbi in uporabi javnega kanalizacijskega sistema v občinah Vrhnika, Borovnica in Log–Dragomer (april 2008). Vsa križanja morajo biti izvedena v zaščitni cevi. Pri projektiranju javnega kanalizacijskega voda je potrebno upoštevati predpisane minimalne horizontalne odmike od ostalih vodov in objektov.</w:t>
      </w:r>
    </w:p>
    <w:p w:rsidR="00610BD6" w:rsidRPr="005113BD" w:rsidRDefault="00610BD6" w:rsidP="00610BD6">
      <w:pPr>
        <w:jc w:val="both"/>
        <w:rPr>
          <w:rFonts w:cs="Arial"/>
          <w:szCs w:val="22"/>
        </w:rPr>
      </w:pPr>
      <w:r w:rsidRPr="005113BD">
        <w:rPr>
          <w:rFonts w:cs="Arial"/>
          <w:szCs w:val="22"/>
        </w:rPr>
        <w:t>(17) Pred pričetkom gradnje je potrebno pridobiti projekt za izvedbo – PZI, kateri mora zajeti tudi vse hišne priključke načrtovanih in obstoječih objektov, od iztoka iz objekta do priklopa na javni vod.</w:t>
      </w:r>
    </w:p>
    <w:p w:rsidR="00610BD6" w:rsidRPr="005113BD" w:rsidRDefault="00610BD6" w:rsidP="00610BD6">
      <w:pPr>
        <w:jc w:val="both"/>
        <w:rPr>
          <w:rFonts w:cs="Arial"/>
          <w:szCs w:val="22"/>
        </w:rPr>
      </w:pPr>
      <w:r w:rsidRPr="005113BD">
        <w:rPr>
          <w:rFonts w:cs="Arial"/>
          <w:szCs w:val="22"/>
        </w:rPr>
        <w:t>(18) Investitor je dolžan upravljavcu kanalizacije dostaviti projekt izvedenih del, geodetski posnetek, poročilo o preizkusu vodotesnosti, poročilo – ateste o ustreznosti vgrajenega materiala in poročilo o pregledu kanala s TV kamero.</w:t>
      </w:r>
    </w:p>
    <w:p w:rsidR="00610BD6" w:rsidRPr="005113BD" w:rsidRDefault="00610BD6" w:rsidP="00610BD6">
      <w:pPr>
        <w:jc w:val="both"/>
        <w:rPr>
          <w:rFonts w:cs="Arial"/>
          <w:szCs w:val="22"/>
        </w:rPr>
      </w:pPr>
    </w:p>
    <w:p w:rsidR="00610BD6" w:rsidRPr="005113BD" w:rsidRDefault="00610BD6" w:rsidP="00610BD6">
      <w:pPr>
        <w:tabs>
          <w:tab w:val="left" w:pos="284"/>
        </w:tabs>
        <w:jc w:val="center"/>
        <w:rPr>
          <w:rFonts w:cs="Arial"/>
          <w:bCs/>
          <w:szCs w:val="22"/>
        </w:rPr>
      </w:pPr>
      <w:r w:rsidRPr="005113BD">
        <w:rPr>
          <w:rFonts w:cs="Arial"/>
          <w:bCs/>
          <w:szCs w:val="22"/>
        </w:rPr>
        <w:t>40. člen</w:t>
      </w:r>
    </w:p>
    <w:p w:rsidR="00610BD6" w:rsidRPr="005113BD" w:rsidRDefault="00610BD6" w:rsidP="00610BD6">
      <w:pPr>
        <w:tabs>
          <w:tab w:val="left" w:pos="284"/>
        </w:tabs>
        <w:jc w:val="center"/>
        <w:rPr>
          <w:rFonts w:cs="Arial"/>
          <w:bCs/>
          <w:szCs w:val="22"/>
        </w:rPr>
      </w:pPr>
      <w:r w:rsidRPr="005113BD">
        <w:rPr>
          <w:rFonts w:cs="Arial"/>
          <w:bCs/>
          <w:szCs w:val="22"/>
        </w:rPr>
        <w:t>(vodovodno omrežje)</w:t>
      </w:r>
    </w:p>
    <w:p w:rsidR="00610BD6" w:rsidRPr="005113BD" w:rsidRDefault="00610BD6" w:rsidP="00610BD6">
      <w:pPr>
        <w:tabs>
          <w:tab w:val="left" w:pos="284"/>
        </w:tabs>
        <w:jc w:val="center"/>
        <w:rPr>
          <w:rFonts w:cs="Arial"/>
          <w:szCs w:val="22"/>
        </w:rPr>
      </w:pPr>
    </w:p>
    <w:p w:rsidR="00610BD6" w:rsidRPr="005113BD" w:rsidRDefault="00610BD6" w:rsidP="00610BD6">
      <w:pPr>
        <w:jc w:val="both"/>
        <w:rPr>
          <w:rFonts w:cs="Arial"/>
          <w:szCs w:val="22"/>
        </w:rPr>
      </w:pPr>
      <w:r w:rsidRPr="005113BD">
        <w:rPr>
          <w:rFonts w:cs="Arial"/>
          <w:szCs w:val="22"/>
        </w:rPr>
        <w:t xml:space="preserve">(1) Na območju OPPN je zgrajeno javno vodovodno omrežje. Obstoječi Javni vodovod PE Ø110 poteka vzdolž obstoječe ceste Pot na Tojnice od vzhoda do Čistilne naprave Vrhnika. </w:t>
      </w:r>
    </w:p>
    <w:p w:rsidR="00610BD6" w:rsidRPr="005113BD" w:rsidRDefault="00610BD6" w:rsidP="00610BD6">
      <w:pPr>
        <w:jc w:val="both"/>
        <w:rPr>
          <w:rFonts w:cs="Arial"/>
          <w:szCs w:val="22"/>
        </w:rPr>
      </w:pPr>
      <w:r w:rsidRPr="005113BD">
        <w:rPr>
          <w:rFonts w:cs="Arial"/>
          <w:szCs w:val="22"/>
        </w:rPr>
        <w:t>V sklopu ureditve nove lokalne zbirne ceste Pot na Tojnice (LC 466091) je predvidena izgradnja novega sekundarnega vodovoda PE Ø110.</w:t>
      </w:r>
    </w:p>
    <w:p w:rsidR="00610BD6" w:rsidRPr="005113BD" w:rsidRDefault="00610BD6" w:rsidP="00610BD6">
      <w:pPr>
        <w:jc w:val="both"/>
        <w:rPr>
          <w:rFonts w:cs="Arial"/>
          <w:szCs w:val="22"/>
        </w:rPr>
      </w:pPr>
      <w:r w:rsidRPr="005113BD">
        <w:rPr>
          <w:rFonts w:cs="Arial"/>
          <w:szCs w:val="22"/>
        </w:rPr>
        <w:t xml:space="preserve">(2) Za zagotavljanje oskrbe s pitno vodo in požarne varnosti na območju OPPN Industrijska cona Tojnice 1 sta predvideni dve veji vodovoda. Vodovod V1 bo izveden v dovozni cesti v prostorski enoti C1. Nanj se bodo priključili predvideni objekti ob dovozni cesti iz vseh treh prostorskih enot. Vodovod V2 je predviden kot stranska veja vodovoda V1. Potekal bo v </w:t>
      </w:r>
      <w:r w:rsidRPr="005113BD">
        <w:rPr>
          <w:rFonts w:cs="Arial"/>
          <w:szCs w:val="22"/>
        </w:rPr>
        <w:lastRenderedPageBreak/>
        <w:t xml:space="preserve">dovozni cesti prostorske enote P3. Nanj se bodo priključili objekti na južni strani prostorske enote P3. </w:t>
      </w:r>
    </w:p>
    <w:p w:rsidR="00610BD6" w:rsidRPr="005113BD" w:rsidRDefault="00610BD6" w:rsidP="00610BD6">
      <w:pPr>
        <w:jc w:val="both"/>
        <w:rPr>
          <w:rFonts w:cs="Arial"/>
          <w:szCs w:val="22"/>
        </w:rPr>
      </w:pPr>
      <w:r w:rsidRPr="005113BD">
        <w:rPr>
          <w:rFonts w:cs="Arial"/>
          <w:szCs w:val="22"/>
        </w:rPr>
        <w:t>(3) Vodovodi morajo biti opremljeni z vsemi potrebnimi armaturami, ki omogočajo njegovo pravilno obratovanje.</w:t>
      </w:r>
    </w:p>
    <w:p w:rsidR="00610BD6" w:rsidRPr="005113BD" w:rsidRDefault="00610BD6" w:rsidP="00610BD6">
      <w:pPr>
        <w:jc w:val="both"/>
        <w:rPr>
          <w:rFonts w:cs="Arial"/>
          <w:szCs w:val="22"/>
        </w:rPr>
      </w:pPr>
      <w:r w:rsidRPr="005113BD">
        <w:rPr>
          <w:rFonts w:cs="Arial"/>
          <w:szCs w:val="22"/>
        </w:rPr>
        <w:t>(4) Za zagotavljanje požarne varnosti so na vodovodu V1 po dovozni cesti C1 predvideni hidranti v razmiku 80 m. Požarna varnost južnega dela območja bo zagotovljena tudi s hidranti na predvidenem javnem vodovodu na cesti Pot na Tojnice. Vodovod V1 bo priključen na predvideni novi sekundarni vodovod PE Ø110 v cesti Pot na Tojnice.</w:t>
      </w:r>
    </w:p>
    <w:p w:rsidR="00610BD6" w:rsidRPr="005113BD" w:rsidRDefault="00610BD6" w:rsidP="00610BD6">
      <w:pPr>
        <w:jc w:val="both"/>
        <w:rPr>
          <w:rFonts w:cs="Arial"/>
          <w:szCs w:val="22"/>
        </w:rPr>
      </w:pPr>
      <w:r w:rsidRPr="005113BD">
        <w:rPr>
          <w:rFonts w:cs="Arial"/>
          <w:szCs w:val="22"/>
        </w:rPr>
        <w:t>(5) Hidranti morajo biti postavljeni skladno z zahtevami Pravilnika o tehničnih normativih za hidrantno omrežje za gašenje požarov. Na nevoznih površinah so ob vodovodu predvideni hidranti DN80 lomne izvedbe. Nov odsek javnega vodovoda mora biti opremljen z vsemi potrebnimi armaturami, ki omogočajo nemoteno delovanje vodovoda (sektorski zasuni, zračniki in blatniki na lomih nivelete).</w:t>
      </w:r>
    </w:p>
    <w:p w:rsidR="00610BD6" w:rsidRPr="005113BD" w:rsidRDefault="00610BD6" w:rsidP="00610BD6">
      <w:pPr>
        <w:jc w:val="both"/>
        <w:rPr>
          <w:rFonts w:cs="Arial"/>
          <w:szCs w:val="22"/>
        </w:rPr>
      </w:pPr>
      <w:r w:rsidRPr="005113BD">
        <w:rPr>
          <w:rFonts w:cs="Arial"/>
          <w:szCs w:val="22"/>
        </w:rPr>
        <w:t>(6) Vodovod je treba zgraditi v skupnem koridorju z drugimi komunalnimi vodi na ustreznih odmikih od predvidenih in obstoječih komunalnih vodov (po navodilih upravljalcev) in objektov (5 m), ter na globini temenskega kritja cevi vsaj 1,2 m.</w:t>
      </w:r>
    </w:p>
    <w:p w:rsidR="00610BD6" w:rsidRPr="005113BD" w:rsidRDefault="00610BD6" w:rsidP="00610BD6">
      <w:pPr>
        <w:jc w:val="both"/>
        <w:rPr>
          <w:rFonts w:cs="Arial"/>
          <w:szCs w:val="22"/>
        </w:rPr>
      </w:pPr>
      <w:r w:rsidRPr="005113BD">
        <w:rPr>
          <w:rFonts w:cs="Arial"/>
          <w:szCs w:val="22"/>
        </w:rPr>
        <w:t>(7) Križanja vodovoda z ostalimi komunalnimi vodi morajo biti izvedena v skladu z normativi in tehničnimi predpisi. Zagotoviti je potrebno primerno zaščito cevovoda. Križanje je treba izvesti pravokotno na os cevovoda oz. s čim manjšim odstopanjem od pravega kota.</w:t>
      </w:r>
    </w:p>
    <w:p w:rsidR="00610BD6" w:rsidRPr="005113BD" w:rsidRDefault="00610BD6" w:rsidP="00610BD6">
      <w:pPr>
        <w:jc w:val="both"/>
        <w:rPr>
          <w:rFonts w:cs="Arial"/>
          <w:szCs w:val="22"/>
        </w:rPr>
      </w:pPr>
      <w:r w:rsidRPr="005113BD">
        <w:rPr>
          <w:rFonts w:cs="Arial"/>
          <w:szCs w:val="22"/>
        </w:rPr>
        <w:t>(8) Nad vodovodom niso dovoljeni nobeni gradbeni posegi, dodaten nasip ali odvoz materiala nad cevovodom, gradnja ograj, podpornih zidov in ostalih komunalnih vodov. V primeru gradnje na mestu vodovoda, se ta mora prestaviti na stroške investitorja.</w:t>
      </w:r>
    </w:p>
    <w:p w:rsidR="00610BD6" w:rsidRPr="005113BD" w:rsidRDefault="00610BD6" w:rsidP="00610BD6">
      <w:pPr>
        <w:jc w:val="both"/>
        <w:rPr>
          <w:rFonts w:cs="Arial"/>
          <w:szCs w:val="22"/>
        </w:rPr>
      </w:pPr>
      <w:r w:rsidRPr="005113BD">
        <w:rPr>
          <w:rFonts w:cs="Arial"/>
          <w:szCs w:val="22"/>
        </w:rPr>
        <w:t>(9) Priključitev hišnih priključkov se izvede na novo predvideni vodovod PE Ø110 s priključno cevjo PE Ø1", v globini 1,2 m, ter zaščiteno z zaščitno cevjo dimenzije PE Ø6/4" in montažo vodomernega števca.</w:t>
      </w:r>
    </w:p>
    <w:p w:rsidR="00610BD6" w:rsidRPr="005113BD" w:rsidRDefault="00610BD6" w:rsidP="00610BD6">
      <w:pPr>
        <w:jc w:val="both"/>
        <w:rPr>
          <w:rFonts w:cs="Arial"/>
          <w:szCs w:val="22"/>
        </w:rPr>
      </w:pPr>
      <w:r w:rsidRPr="005113BD">
        <w:rPr>
          <w:rFonts w:cs="Arial"/>
          <w:szCs w:val="22"/>
        </w:rPr>
        <w:t xml:space="preserve">(10) Statični tlak na odjemnem mestu 290,70 m.n.v. (vodomeru) bo od 4,5 do 5,5 bar. </w:t>
      </w:r>
    </w:p>
    <w:p w:rsidR="00610BD6" w:rsidRPr="005113BD" w:rsidRDefault="00610BD6" w:rsidP="00610BD6">
      <w:pPr>
        <w:jc w:val="both"/>
        <w:rPr>
          <w:rFonts w:cs="Arial"/>
          <w:szCs w:val="22"/>
        </w:rPr>
      </w:pPr>
      <w:r w:rsidRPr="005113BD">
        <w:rPr>
          <w:rFonts w:cs="Arial"/>
          <w:szCs w:val="22"/>
        </w:rPr>
        <w:t>(11) Vodomer, ustrezne dimenzije, ki ga določi projektant glede na potrebno porabo vode, se vgradi v zunanji talni jašek ustreznih dimenzij v skladu s Pravilnikom o tehnični izvedbi vodovodnih objektov in naprav centralnega vodovoda v občinah Vrhnika, Log – Dragomer, Borovnica (april 2012), pokrit s pokrovom lahke izvedbe ter toplotno izoliran. Pod vodomerom se vgradi lovilec nesnage, za vodomerom pa nepovratni ventil. Jašek mora imeti urejen odtok odvečne vode v primeru okvare ali izpusta vode iz omrežja.</w:t>
      </w:r>
    </w:p>
    <w:p w:rsidR="00610BD6" w:rsidRPr="005113BD" w:rsidRDefault="00610BD6" w:rsidP="00610BD6">
      <w:pPr>
        <w:jc w:val="both"/>
        <w:rPr>
          <w:rFonts w:cs="Arial"/>
          <w:szCs w:val="22"/>
        </w:rPr>
      </w:pPr>
      <w:r w:rsidRPr="005113BD">
        <w:rPr>
          <w:rFonts w:cs="Arial"/>
          <w:szCs w:val="22"/>
        </w:rPr>
        <w:t>(12) Priključitev bo možna, ko bo investitor podal zahtevek za priključitev in potrdilo o plačani obveznosti za priključitev na vodovodno omrežje. Priključek izvede upravljavec vodovoda – JP KPV, d.o.o.</w:t>
      </w:r>
    </w:p>
    <w:p w:rsidR="00610BD6" w:rsidRPr="005113BD" w:rsidRDefault="00610BD6" w:rsidP="00610BD6">
      <w:pPr>
        <w:jc w:val="both"/>
        <w:rPr>
          <w:rFonts w:cs="Arial"/>
          <w:szCs w:val="22"/>
        </w:rPr>
      </w:pPr>
      <w:r w:rsidRPr="005113BD">
        <w:rPr>
          <w:rFonts w:cs="Arial"/>
          <w:szCs w:val="22"/>
        </w:rPr>
        <w:t xml:space="preserve">(13) V načrtu priključitve mora biti razviden postopek izdelave priključitve na javno vodovodno omrežje, da ne pride do prekinitve z </w:t>
      </w:r>
      <w:proofErr w:type="spellStart"/>
      <w:r w:rsidRPr="005113BD">
        <w:rPr>
          <w:rFonts w:cs="Arial"/>
          <w:szCs w:val="22"/>
        </w:rPr>
        <w:t>vodooskrbo</w:t>
      </w:r>
      <w:proofErr w:type="spellEnd"/>
      <w:r w:rsidRPr="005113BD">
        <w:rPr>
          <w:rFonts w:cs="Arial"/>
          <w:szCs w:val="22"/>
        </w:rPr>
        <w:t xml:space="preserve"> na obstoječem vodovodnem omrežju.</w:t>
      </w:r>
    </w:p>
    <w:p w:rsidR="00610BD6" w:rsidRPr="005113BD" w:rsidRDefault="00610BD6" w:rsidP="00610BD6">
      <w:pPr>
        <w:autoSpaceDE w:val="0"/>
        <w:autoSpaceDN w:val="0"/>
        <w:adjustRightInd w:val="0"/>
        <w:jc w:val="both"/>
        <w:rPr>
          <w:rFonts w:cs="Arial"/>
          <w:szCs w:val="22"/>
        </w:rPr>
      </w:pPr>
      <w:r w:rsidRPr="005113BD">
        <w:rPr>
          <w:rFonts w:cs="Arial"/>
          <w:szCs w:val="22"/>
        </w:rPr>
        <w:t>(14) Pred izvedbo priključka si mora investitor zaradi možnih križanj priključka pridobiti soglasje upravljavcev komunalnih vodov ter vseh lastnikov zemljišč po katerih bo potekal priključek.</w:t>
      </w:r>
    </w:p>
    <w:p w:rsidR="00610BD6" w:rsidRPr="005113BD" w:rsidRDefault="00610BD6" w:rsidP="00610BD6">
      <w:pPr>
        <w:jc w:val="both"/>
        <w:rPr>
          <w:rFonts w:cs="Arial"/>
          <w:szCs w:val="22"/>
        </w:rPr>
      </w:pPr>
      <w:r w:rsidRPr="005113BD">
        <w:rPr>
          <w:rFonts w:cs="Arial"/>
          <w:szCs w:val="22"/>
        </w:rPr>
        <w:t>(15) Za pridobitev soglasja h gradnji je vlogi potrebno priložiti projekt skupaj z detajli morebitnega križanja.</w:t>
      </w:r>
    </w:p>
    <w:p w:rsidR="00610BD6" w:rsidRPr="005113BD" w:rsidRDefault="00610BD6" w:rsidP="00610BD6">
      <w:pPr>
        <w:jc w:val="both"/>
        <w:rPr>
          <w:rFonts w:cs="Arial"/>
          <w:szCs w:val="22"/>
        </w:rPr>
      </w:pPr>
      <w:r w:rsidRPr="005113BD">
        <w:rPr>
          <w:rFonts w:cs="Arial"/>
          <w:szCs w:val="22"/>
        </w:rPr>
        <w:t>(16) Upravljavec vodovoda ima pravico, da odkloni izvedbo priključka, če ne bodo izpolnjeni vsi pogoji.</w:t>
      </w:r>
    </w:p>
    <w:p w:rsidR="00610BD6" w:rsidRPr="005113BD" w:rsidRDefault="00610BD6" w:rsidP="00610BD6">
      <w:pPr>
        <w:jc w:val="both"/>
        <w:rPr>
          <w:rFonts w:cs="Arial"/>
          <w:szCs w:val="22"/>
        </w:rPr>
      </w:pPr>
      <w:r w:rsidRPr="005113BD">
        <w:rPr>
          <w:rFonts w:cs="Arial"/>
          <w:szCs w:val="22"/>
        </w:rPr>
        <w:t>(17) Nadzor nad izvedbo priključka izvaja upravljavec vodovoda.</w:t>
      </w:r>
    </w:p>
    <w:p w:rsidR="00610BD6" w:rsidRPr="005113BD" w:rsidRDefault="00610BD6" w:rsidP="00610BD6">
      <w:pPr>
        <w:jc w:val="both"/>
        <w:rPr>
          <w:rFonts w:cs="Arial"/>
          <w:szCs w:val="22"/>
        </w:rPr>
      </w:pPr>
      <w:r w:rsidRPr="005113BD">
        <w:rPr>
          <w:rFonts w:cs="Arial"/>
          <w:szCs w:val="22"/>
        </w:rPr>
        <w:t>(18) Vso nastalo škodo z izvedbo priključka krije investitor.</w:t>
      </w:r>
    </w:p>
    <w:p w:rsidR="00610BD6" w:rsidRPr="005113BD" w:rsidRDefault="00610BD6" w:rsidP="00610BD6">
      <w:pPr>
        <w:jc w:val="both"/>
        <w:rPr>
          <w:rFonts w:cs="Arial"/>
          <w:szCs w:val="22"/>
        </w:rPr>
      </w:pPr>
      <w:r w:rsidRPr="005113BD">
        <w:rPr>
          <w:rFonts w:cs="Arial"/>
          <w:szCs w:val="22"/>
        </w:rPr>
        <w:t>(19) Vodovodno instalacijo v objektu izvrši za ta dela pooblaščeni izvajalec, ki tudi jamči za kvaliteto opravljenega dela. Novo položeno instalacijo je potrebno preizkusiti na predpisan tlak, opraviti dezinfekcijo ter predložiti ateste.</w:t>
      </w:r>
    </w:p>
    <w:p w:rsidR="00610BD6" w:rsidRPr="005113BD" w:rsidRDefault="00610BD6" w:rsidP="00610BD6">
      <w:pPr>
        <w:rPr>
          <w:rFonts w:cs="Arial"/>
          <w:szCs w:val="22"/>
        </w:rPr>
      </w:pPr>
    </w:p>
    <w:p w:rsidR="00610BD6" w:rsidRPr="005113BD" w:rsidRDefault="00610BD6" w:rsidP="00610BD6">
      <w:pPr>
        <w:tabs>
          <w:tab w:val="left" w:pos="284"/>
        </w:tabs>
        <w:jc w:val="center"/>
        <w:rPr>
          <w:rFonts w:cs="Arial"/>
          <w:bCs/>
          <w:szCs w:val="22"/>
        </w:rPr>
      </w:pPr>
      <w:r w:rsidRPr="005113BD">
        <w:rPr>
          <w:rFonts w:cs="Arial"/>
          <w:bCs/>
          <w:szCs w:val="22"/>
        </w:rPr>
        <w:t>41. člen</w:t>
      </w:r>
    </w:p>
    <w:p w:rsidR="00610BD6" w:rsidRPr="005113BD" w:rsidRDefault="00610BD6" w:rsidP="00610BD6">
      <w:pPr>
        <w:tabs>
          <w:tab w:val="left" w:pos="284"/>
        </w:tabs>
        <w:jc w:val="center"/>
        <w:rPr>
          <w:rFonts w:cs="Arial"/>
          <w:bCs/>
          <w:szCs w:val="22"/>
        </w:rPr>
      </w:pPr>
      <w:r w:rsidRPr="005113BD">
        <w:rPr>
          <w:rFonts w:cs="Arial"/>
          <w:bCs/>
          <w:szCs w:val="22"/>
        </w:rPr>
        <w:t>(plinovodno omrežje)</w:t>
      </w:r>
    </w:p>
    <w:p w:rsidR="00610BD6" w:rsidRPr="005113BD" w:rsidRDefault="00610BD6" w:rsidP="00610BD6">
      <w:pPr>
        <w:tabs>
          <w:tab w:val="left" w:pos="284"/>
        </w:tabs>
        <w:jc w:val="both"/>
        <w:rPr>
          <w:rFonts w:cs="Arial"/>
          <w:b/>
          <w:bCs/>
          <w:szCs w:val="22"/>
        </w:rPr>
      </w:pPr>
    </w:p>
    <w:p w:rsidR="00610BD6" w:rsidRPr="005113BD" w:rsidRDefault="00610BD6" w:rsidP="00610BD6">
      <w:r w:rsidRPr="005113BD">
        <w:rPr>
          <w:rFonts w:cs="Arial"/>
          <w:szCs w:val="22"/>
        </w:rPr>
        <w:lastRenderedPageBreak/>
        <w:t xml:space="preserve">(1) </w:t>
      </w:r>
      <w:r w:rsidRPr="005113BD">
        <w:t>Na območju gradnje povezovalne ceste poteka plinovod PE 100 d160. Plinovod poteka v cestnem telesu Pot na Tojnice. Za širitev plinovodnega omrežja je že pripravljen plinovodni odcep PE 100 d110, ki je priklopljen na plinovod PE 100 d160.</w:t>
      </w:r>
    </w:p>
    <w:p w:rsidR="00610BD6" w:rsidRPr="005113BD" w:rsidRDefault="00610BD6" w:rsidP="00610BD6">
      <w:r w:rsidRPr="005113BD">
        <w:rPr>
          <w:rFonts w:cs="Arial"/>
          <w:szCs w:val="22"/>
        </w:rPr>
        <w:t xml:space="preserve">(2) </w:t>
      </w:r>
      <w:r w:rsidRPr="005113BD">
        <w:t xml:space="preserve">Za oskrbo predvidenih objektov s plinom je predvidena izvedba glavnega plinovoda PE 100 d110 po dovozni cesti območja v smeri od obstoječega plinovodnega odcepa. </w:t>
      </w:r>
    </w:p>
    <w:p w:rsidR="00610BD6" w:rsidRPr="005113BD" w:rsidRDefault="00610BD6" w:rsidP="00610BD6">
      <w:r w:rsidRPr="005113BD">
        <w:t>(3) Priključni vodi do objektov naj bodo dimenzije PE 100 d63 oz. določeni glede na velikost objekta in potrebe po porabi zemeljskega plina.</w:t>
      </w:r>
    </w:p>
    <w:p w:rsidR="00610BD6" w:rsidRPr="005113BD" w:rsidRDefault="00610BD6" w:rsidP="00610BD6">
      <w:r w:rsidRPr="005113BD">
        <w:t>(4) Pri izgradnji plinovoda je treba upoštevati odmike od ostale komunalne in energetske infrastrukture.</w:t>
      </w:r>
    </w:p>
    <w:p w:rsidR="00610BD6" w:rsidRPr="005113BD" w:rsidRDefault="00610BD6" w:rsidP="00610BD6">
      <w:pPr>
        <w:jc w:val="both"/>
        <w:rPr>
          <w:rFonts w:cs="Arial"/>
          <w:szCs w:val="22"/>
        </w:rPr>
      </w:pPr>
      <w:r w:rsidRPr="005113BD">
        <w:rPr>
          <w:rFonts w:cs="Arial"/>
          <w:szCs w:val="22"/>
        </w:rPr>
        <w:t>(5) Priključek za posamezni objekt se zaključi z glavno plinsko zaporno pipo ustrezne dimenzije v omarici na fasadi. Pri projektiranju plinskega priključka je potrebno upoštevati področne normative in tehnične predpise.</w:t>
      </w:r>
    </w:p>
    <w:p w:rsidR="00610BD6" w:rsidRPr="005113BD" w:rsidRDefault="00610BD6" w:rsidP="00610BD6">
      <w:pPr>
        <w:jc w:val="both"/>
        <w:rPr>
          <w:rFonts w:cs="Arial"/>
          <w:szCs w:val="22"/>
        </w:rPr>
      </w:pPr>
    </w:p>
    <w:p w:rsidR="00610BD6" w:rsidRPr="005113BD" w:rsidRDefault="00610BD6" w:rsidP="00610BD6">
      <w:pPr>
        <w:tabs>
          <w:tab w:val="left" w:pos="284"/>
        </w:tabs>
        <w:jc w:val="center"/>
        <w:rPr>
          <w:rFonts w:cs="Arial"/>
          <w:bCs/>
          <w:szCs w:val="22"/>
        </w:rPr>
      </w:pPr>
      <w:r w:rsidRPr="005113BD">
        <w:rPr>
          <w:rFonts w:cs="Arial"/>
          <w:bCs/>
          <w:szCs w:val="22"/>
        </w:rPr>
        <w:t>42. člen</w:t>
      </w:r>
    </w:p>
    <w:p w:rsidR="00610BD6" w:rsidRPr="005113BD" w:rsidRDefault="00610BD6" w:rsidP="00610BD6">
      <w:pPr>
        <w:tabs>
          <w:tab w:val="left" w:pos="284"/>
        </w:tabs>
        <w:jc w:val="center"/>
        <w:rPr>
          <w:rFonts w:cs="Arial"/>
          <w:bCs/>
          <w:szCs w:val="22"/>
        </w:rPr>
      </w:pPr>
      <w:r w:rsidRPr="005113BD">
        <w:rPr>
          <w:rFonts w:cs="Arial"/>
          <w:bCs/>
          <w:szCs w:val="22"/>
        </w:rPr>
        <w:t>(elektroenergetsko omrežje)</w:t>
      </w:r>
    </w:p>
    <w:p w:rsidR="00610BD6" w:rsidRPr="005113BD" w:rsidRDefault="00610BD6" w:rsidP="00610BD6">
      <w:pPr>
        <w:tabs>
          <w:tab w:val="left" w:pos="284"/>
        </w:tabs>
        <w:jc w:val="center"/>
        <w:rPr>
          <w:rFonts w:cs="Arial"/>
          <w:szCs w:val="22"/>
        </w:rPr>
      </w:pPr>
    </w:p>
    <w:p w:rsidR="00610BD6" w:rsidRPr="005113BD" w:rsidRDefault="00610BD6" w:rsidP="00610BD6">
      <w:pPr>
        <w:spacing w:before="120"/>
        <w:jc w:val="both"/>
        <w:rPr>
          <w:rFonts w:cs="Arial"/>
          <w:szCs w:val="22"/>
        </w:rPr>
      </w:pPr>
      <w:r w:rsidRPr="005113BD">
        <w:rPr>
          <w:rFonts w:cs="Arial"/>
          <w:szCs w:val="22"/>
        </w:rPr>
        <w:t>(1) V bližini in delno v območju OPPN potekajo obstoječi SN in NN vodi. Na vzhodnem delu se nahaja obstoječa transformatorska postaja.</w:t>
      </w:r>
    </w:p>
    <w:p w:rsidR="00610BD6" w:rsidRPr="005113BD" w:rsidRDefault="00610BD6" w:rsidP="00610BD6">
      <w:pPr>
        <w:jc w:val="both"/>
        <w:rPr>
          <w:rFonts w:cs="Arial"/>
          <w:szCs w:val="22"/>
        </w:rPr>
      </w:pPr>
      <w:r w:rsidRPr="005113BD">
        <w:rPr>
          <w:rFonts w:cs="Arial"/>
          <w:szCs w:val="22"/>
        </w:rPr>
        <w:t>(2) Predvidena gradnja novih objektov na obravnavanem območju predvideva vključitev novih objektov v obstoječe in deloma novo NN omrežje s priklopom na obstoječe SN in NN omrežje.</w:t>
      </w:r>
    </w:p>
    <w:p w:rsidR="00610BD6" w:rsidRPr="005113BD" w:rsidRDefault="00610BD6" w:rsidP="00610BD6">
      <w:pPr>
        <w:jc w:val="both"/>
        <w:rPr>
          <w:rFonts w:cs="Arial"/>
          <w:szCs w:val="22"/>
        </w:rPr>
      </w:pPr>
      <w:r w:rsidRPr="005113BD">
        <w:rPr>
          <w:rFonts w:cs="Arial"/>
          <w:szCs w:val="22"/>
        </w:rPr>
        <w:t>(3) Z upoštevanimi faktorji istočasnosti in prekrivanja je na območju obdelave ocenjena konična moč na cca 1,2 MW. Predvidena je gradnja dveh novih transformatorskih postaj z nazivno močjo 1000 kVA. Del industrijske cone Tojnice 1 se bo napajal iz nove transformatorske postaje na jugu cone, del iz transformatorske postaje na severu, del pa iz obstoječe TP pri čistilni napravi.</w:t>
      </w:r>
    </w:p>
    <w:p w:rsidR="00610BD6" w:rsidRPr="005113BD" w:rsidRDefault="00610BD6" w:rsidP="00610BD6">
      <w:pPr>
        <w:jc w:val="both"/>
        <w:rPr>
          <w:rFonts w:cs="Arial"/>
          <w:szCs w:val="22"/>
        </w:rPr>
      </w:pPr>
      <w:r w:rsidRPr="005113BD">
        <w:rPr>
          <w:rFonts w:cs="Arial"/>
          <w:szCs w:val="22"/>
        </w:rPr>
        <w:t xml:space="preserve">(4) Razvod elektro kabelske kanalizacije (EKK) je predviden tako za potrebe SN kot NN povezav. </w:t>
      </w:r>
    </w:p>
    <w:p w:rsidR="00610BD6" w:rsidRPr="005113BD" w:rsidRDefault="00610BD6" w:rsidP="00610BD6">
      <w:pPr>
        <w:jc w:val="both"/>
        <w:rPr>
          <w:rFonts w:cs="Arial"/>
          <w:szCs w:val="22"/>
        </w:rPr>
      </w:pPr>
      <w:r w:rsidRPr="005113BD">
        <w:rPr>
          <w:rFonts w:cs="Arial"/>
          <w:szCs w:val="22"/>
        </w:rPr>
        <w:t>(5) Vsi zemeljski razvodi, ki bodo potekali pod voznimi površinami in bodo namenjeni napajanju predvidenih objektov na obravnavanem območju, naj se uvlečejo v njim namenjeno kabelsko kanalizacijo s kabelskimi jaški ustreznih dimenzij.</w:t>
      </w:r>
    </w:p>
    <w:p w:rsidR="00610BD6" w:rsidRPr="005113BD" w:rsidRDefault="00610BD6" w:rsidP="00610BD6">
      <w:pPr>
        <w:jc w:val="both"/>
        <w:rPr>
          <w:rFonts w:cs="Arial"/>
          <w:szCs w:val="22"/>
        </w:rPr>
      </w:pPr>
      <w:r w:rsidRPr="005113BD">
        <w:rPr>
          <w:rFonts w:cs="Arial"/>
          <w:szCs w:val="22"/>
        </w:rPr>
        <w:t>(6) V območju posameznih objektov posamezne prostorske enote (P1, P2, P3) so predvidene prostostoječe priključno merilne omarice v katerih bodo posamezna merilna mesta za poslovne celote posameznih objektov.</w:t>
      </w:r>
    </w:p>
    <w:p w:rsidR="00610BD6" w:rsidRPr="005113BD" w:rsidRDefault="00610BD6" w:rsidP="00610BD6">
      <w:pPr>
        <w:jc w:val="both"/>
        <w:rPr>
          <w:rFonts w:cs="Arial"/>
          <w:szCs w:val="22"/>
        </w:rPr>
      </w:pPr>
      <w:r w:rsidRPr="005113BD">
        <w:rPr>
          <w:rFonts w:cs="Arial"/>
          <w:szCs w:val="22"/>
        </w:rPr>
        <w:t xml:space="preserve">(7) Kabelske trase EKK in kabelski jaški ter predvidene lokacije transformatorskih postaj je dopustno po potrebi prilagoditi potrebam objektov in zunanje ureditve. </w:t>
      </w:r>
    </w:p>
    <w:p w:rsidR="00610BD6" w:rsidRPr="005113BD" w:rsidRDefault="00610BD6" w:rsidP="00610BD6">
      <w:pPr>
        <w:jc w:val="both"/>
        <w:rPr>
          <w:rFonts w:cs="Arial"/>
          <w:szCs w:val="22"/>
        </w:rPr>
      </w:pPr>
      <w:r w:rsidRPr="005113BD">
        <w:rPr>
          <w:rFonts w:cs="Arial"/>
          <w:szCs w:val="22"/>
        </w:rPr>
        <w:t>(8) Zagotoviti je potrebno ustrezno minimalno oddaljenost predvidenih objektov in morebitne spremljajoče infrastrukture od obstoječih elektro vodov oz. jih po potrebi prestaviti.</w:t>
      </w:r>
    </w:p>
    <w:p w:rsidR="00610BD6" w:rsidRPr="005113BD" w:rsidRDefault="00610BD6" w:rsidP="00610BD6">
      <w:pPr>
        <w:jc w:val="both"/>
        <w:rPr>
          <w:rFonts w:cs="Arial"/>
          <w:szCs w:val="22"/>
        </w:rPr>
      </w:pPr>
      <w:r w:rsidRPr="005113BD">
        <w:rPr>
          <w:rFonts w:cs="Arial"/>
          <w:szCs w:val="22"/>
        </w:rPr>
        <w:t>(9) Za vse predvidene posege v območja varovalnih pasov obstoječih elektroenergetskih distribucijskih naprav in objektov v upravljanju Elektro Ljubljana d.d., je potrebno izdelati geodetske posnetke slednjih, jih vrisati v situacije komunalnih vodov in jih po potrebi projektno obdelati.</w:t>
      </w:r>
    </w:p>
    <w:p w:rsidR="00610BD6" w:rsidRPr="005113BD" w:rsidRDefault="00610BD6" w:rsidP="00610BD6">
      <w:pPr>
        <w:jc w:val="both"/>
        <w:rPr>
          <w:rFonts w:cs="Arial"/>
          <w:szCs w:val="22"/>
        </w:rPr>
      </w:pPr>
      <w:r w:rsidRPr="005113BD">
        <w:rPr>
          <w:rFonts w:cs="Arial"/>
          <w:szCs w:val="22"/>
        </w:rPr>
        <w:t>(10) V primeru, da je gradnja načrtovanih objektov pogojena s predhodno preureditvijo, prestavitvijo oz. nadomestitvijo obstoječe elektroenergetske infrastrukture, ki je v lasti Elektra Ljubljana, je investitor dolžan naročiti izvedbo in plačati vse stroške morebitne prestavitve ali predelave elektroenergetske infrastrukture, ki jih povzroča z omenjeno gradnjo.</w:t>
      </w:r>
    </w:p>
    <w:p w:rsidR="00610BD6" w:rsidRPr="005113BD" w:rsidRDefault="00610BD6" w:rsidP="00610BD6">
      <w:pPr>
        <w:jc w:val="both"/>
        <w:rPr>
          <w:rFonts w:cs="Arial"/>
          <w:szCs w:val="22"/>
        </w:rPr>
      </w:pPr>
      <w:r w:rsidRPr="005113BD">
        <w:rPr>
          <w:rFonts w:cs="Arial"/>
          <w:szCs w:val="22"/>
        </w:rPr>
        <w:t>(11) Investitor nosi tudi vse stroške priključitve posameznega objekta na distribucijsko elektroenergetsko omrežje.</w:t>
      </w:r>
    </w:p>
    <w:p w:rsidR="00610BD6" w:rsidRPr="005113BD" w:rsidRDefault="00610BD6" w:rsidP="00610BD6">
      <w:pPr>
        <w:jc w:val="both"/>
        <w:rPr>
          <w:rFonts w:cs="Arial"/>
          <w:szCs w:val="22"/>
        </w:rPr>
      </w:pPr>
      <w:r w:rsidRPr="005113BD">
        <w:rPr>
          <w:rFonts w:cs="Arial"/>
          <w:szCs w:val="22"/>
        </w:rPr>
        <w:t>(12) Vso elektroenergetsko infrastrukturo (morebitne prestavitve vodov, ureditve mehanskih zaščit, novogradnje elektroenergetske infrastrukture) je potrebno projektno obdelati v skladu s podanimi smernicami, veljavnimi tipizacijami distribucijskih podjetij, veljavnimi tehničnimi predpisi in standardi ter pridobiti upravno dokumentacijo.</w:t>
      </w:r>
    </w:p>
    <w:p w:rsidR="00610BD6" w:rsidRPr="005113BD" w:rsidRDefault="00610BD6" w:rsidP="00610BD6">
      <w:pPr>
        <w:jc w:val="both"/>
        <w:rPr>
          <w:rFonts w:cs="Arial"/>
          <w:szCs w:val="22"/>
        </w:rPr>
      </w:pPr>
      <w:r w:rsidRPr="005113BD">
        <w:rPr>
          <w:rFonts w:cs="Arial"/>
          <w:szCs w:val="22"/>
        </w:rPr>
        <w:t xml:space="preserve">(13) Elektroenergetska infrastruktura mora biti projektno obdelana v ustrezni projektni dokumentaciji in zanjo pridobljena ustrezna gradbena dovoljenja. Za zemljišča, na katerih bo </w:t>
      </w:r>
      <w:r w:rsidRPr="005113BD">
        <w:rPr>
          <w:rFonts w:cs="Arial"/>
          <w:szCs w:val="22"/>
        </w:rPr>
        <w:lastRenderedPageBreak/>
        <w:t>postavljena elektroenergetska infrastruktura, mora biti pridobljena pravica graditi. Pridobiti je potrebno overjene tripartitne služnostne pogodbe z lastniki zemljišč, kjer bo navedeno, da ima Elektro Ljubljana d.d. pravico vpisa služnostne pravice gradnje in vzdrževanja omenjene infrastrukture v zemljiško knjigo.</w:t>
      </w:r>
    </w:p>
    <w:p w:rsidR="00610BD6" w:rsidRPr="005113BD" w:rsidRDefault="00610BD6" w:rsidP="00610BD6">
      <w:pPr>
        <w:jc w:val="both"/>
        <w:rPr>
          <w:rFonts w:cs="Arial"/>
          <w:szCs w:val="22"/>
        </w:rPr>
      </w:pPr>
      <w:r w:rsidRPr="005113BD">
        <w:rPr>
          <w:rFonts w:cs="Arial"/>
          <w:szCs w:val="22"/>
        </w:rPr>
        <w:t xml:space="preserve">(14) Pred pričetkom posega v prostor je potrebno v pristojnem nadzorništvu Vrhnika naročiti </w:t>
      </w:r>
      <w:proofErr w:type="spellStart"/>
      <w:r w:rsidRPr="005113BD">
        <w:rPr>
          <w:rFonts w:cs="Arial"/>
          <w:szCs w:val="22"/>
        </w:rPr>
        <w:t>zakoličbo</w:t>
      </w:r>
      <w:proofErr w:type="spellEnd"/>
      <w:r w:rsidRPr="005113BD">
        <w:rPr>
          <w:rFonts w:cs="Arial"/>
          <w:szCs w:val="22"/>
        </w:rPr>
        <w:t>, umike in ustrezno mehansko zaščito elektro vodov in naprav, kjer je to potrebno in zagotoviti nadzor pri vseh gradbenih delih v bližini elektroenergetskih vodov in naprav s strani upravljavca distribucijskega omrežja, kar mora biti zajeto v varnostnem načrtu.</w:t>
      </w:r>
    </w:p>
    <w:p w:rsidR="00610BD6" w:rsidRPr="005113BD" w:rsidRDefault="00610BD6" w:rsidP="00610BD6">
      <w:pPr>
        <w:pStyle w:val="Telobesedila"/>
        <w:jc w:val="both"/>
        <w:rPr>
          <w:rFonts w:cs="Arial"/>
          <w:szCs w:val="22"/>
        </w:rPr>
      </w:pPr>
    </w:p>
    <w:p w:rsidR="00610BD6" w:rsidRPr="005113BD" w:rsidRDefault="00610BD6" w:rsidP="00610BD6">
      <w:pPr>
        <w:tabs>
          <w:tab w:val="left" w:pos="284"/>
        </w:tabs>
        <w:jc w:val="center"/>
        <w:rPr>
          <w:rFonts w:cs="Arial"/>
          <w:bCs/>
          <w:szCs w:val="22"/>
        </w:rPr>
      </w:pPr>
      <w:r w:rsidRPr="005113BD">
        <w:rPr>
          <w:rFonts w:cs="Arial"/>
          <w:bCs/>
          <w:szCs w:val="22"/>
        </w:rPr>
        <w:t>43. člen</w:t>
      </w:r>
    </w:p>
    <w:p w:rsidR="00610BD6" w:rsidRPr="005113BD" w:rsidRDefault="00610BD6" w:rsidP="00610BD6">
      <w:pPr>
        <w:tabs>
          <w:tab w:val="left" w:pos="284"/>
        </w:tabs>
        <w:jc w:val="center"/>
        <w:rPr>
          <w:rFonts w:cs="Arial"/>
          <w:bCs/>
          <w:szCs w:val="22"/>
        </w:rPr>
      </w:pPr>
      <w:r w:rsidRPr="005113BD">
        <w:rPr>
          <w:rFonts w:cs="Arial"/>
          <w:bCs/>
          <w:szCs w:val="22"/>
        </w:rPr>
        <w:t>(telekomunikacijsko in kabelsko omrežje)</w:t>
      </w:r>
    </w:p>
    <w:p w:rsidR="00610BD6" w:rsidRPr="005113BD" w:rsidRDefault="00610BD6" w:rsidP="00610BD6">
      <w:pPr>
        <w:tabs>
          <w:tab w:val="left" w:pos="284"/>
        </w:tabs>
        <w:jc w:val="center"/>
        <w:rPr>
          <w:rFonts w:cs="Arial"/>
          <w:b/>
          <w:bCs/>
          <w:szCs w:val="22"/>
        </w:rPr>
      </w:pPr>
    </w:p>
    <w:p w:rsidR="00610BD6" w:rsidRPr="005113BD" w:rsidRDefault="00610BD6" w:rsidP="00610BD6">
      <w:pPr>
        <w:jc w:val="both"/>
        <w:rPr>
          <w:rFonts w:cs="Arial"/>
          <w:szCs w:val="22"/>
        </w:rPr>
      </w:pPr>
      <w:r w:rsidRPr="005113BD">
        <w:rPr>
          <w:rFonts w:cs="Arial"/>
          <w:szCs w:val="22"/>
        </w:rPr>
        <w:t>(1) Na območju OPPN poteka obstoječe kabelsko omrežje Telekom Slovenije.</w:t>
      </w:r>
    </w:p>
    <w:p w:rsidR="00610BD6" w:rsidRPr="005113BD" w:rsidRDefault="00610BD6" w:rsidP="00610BD6">
      <w:pPr>
        <w:jc w:val="both"/>
        <w:rPr>
          <w:rFonts w:cs="Arial"/>
          <w:szCs w:val="22"/>
        </w:rPr>
      </w:pPr>
      <w:r w:rsidRPr="005113BD">
        <w:rPr>
          <w:rFonts w:cs="Arial"/>
          <w:szCs w:val="22"/>
        </w:rPr>
        <w:t>(2) Predvidene objekte na območju OPPN je dopustno priključiti na elektronska komunikacijska omrežja pod pogoji upravljavcev teh omrežij. Ob dovozni cesti je predvidena trasa novih TK vodov, ki bodo položeni v TK kabelski kanalizaciji. Kanalizacija se dimenzionira za kabelskega operaterja Telekom in dodatno za drugega operaterja.</w:t>
      </w:r>
    </w:p>
    <w:p w:rsidR="00610BD6" w:rsidRPr="005113BD" w:rsidRDefault="00610BD6" w:rsidP="00610BD6">
      <w:pPr>
        <w:jc w:val="both"/>
        <w:rPr>
          <w:rFonts w:cs="Arial"/>
          <w:szCs w:val="22"/>
        </w:rPr>
      </w:pPr>
      <w:r w:rsidRPr="005113BD">
        <w:rPr>
          <w:rFonts w:cs="Arial"/>
          <w:szCs w:val="22"/>
        </w:rPr>
        <w:t>(3) Pri vseh posegih v prostor je potrebno upoštevati obstoječe TK omrežje. Obstoječe TK omrežje je potrebno ustrezno zaščititi ali prestaviti na osnovi projektne rešitve. Pri projektni rešitvi je treba upoštevati izgradnjo nove kabelske kanalizacije z navezavo na priključno točko Telekom na obstoječi kabelski kanalizaciji v cesti Pot na Tojnice. Priključna točka za drugega operaterja je na robu območja obdelave ob cesti Pot na Tojnice.</w:t>
      </w:r>
    </w:p>
    <w:p w:rsidR="00610BD6" w:rsidRPr="005113BD" w:rsidRDefault="00610BD6" w:rsidP="00610BD6">
      <w:pPr>
        <w:jc w:val="both"/>
        <w:rPr>
          <w:rFonts w:cs="Arial"/>
          <w:szCs w:val="22"/>
        </w:rPr>
      </w:pPr>
      <w:r w:rsidRPr="005113BD">
        <w:rPr>
          <w:rFonts w:cs="Arial"/>
          <w:szCs w:val="22"/>
        </w:rPr>
        <w:t>(4) Potrebno je izdelati PGD – PZI zaščite oz. prestavitve obstoječega TK omrežja in priključka na objekt Mobitel, ki se nahaja na severni strani območja. Deli obstoječega omrežja za obstoječe objekte, ki se odstranijo, se opustijo. Na dokumentacijo PGD je potrebno pridobiti soglasje upravljalca Telekom k projektnim rešitvam.</w:t>
      </w:r>
    </w:p>
    <w:p w:rsidR="00610BD6" w:rsidRPr="005113BD" w:rsidRDefault="00610BD6" w:rsidP="00610BD6">
      <w:pPr>
        <w:jc w:val="both"/>
        <w:rPr>
          <w:rFonts w:cs="Arial"/>
          <w:szCs w:val="22"/>
        </w:rPr>
      </w:pPr>
      <w:r w:rsidRPr="005113BD">
        <w:rPr>
          <w:rFonts w:cs="Arial"/>
          <w:szCs w:val="22"/>
        </w:rPr>
        <w:t>(5) Zagotoviti je potrebno ustrezne odmiki med posameznimi instalacijami SN, NN, TK in ostalih vodov.</w:t>
      </w:r>
    </w:p>
    <w:p w:rsidR="00610BD6" w:rsidRPr="005113BD" w:rsidRDefault="00610BD6" w:rsidP="00610BD6">
      <w:pPr>
        <w:jc w:val="both"/>
        <w:rPr>
          <w:rFonts w:cs="Arial"/>
          <w:szCs w:val="22"/>
        </w:rPr>
      </w:pPr>
    </w:p>
    <w:p w:rsidR="00610BD6" w:rsidRPr="005113BD" w:rsidRDefault="00610BD6" w:rsidP="00610BD6">
      <w:pPr>
        <w:tabs>
          <w:tab w:val="left" w:pos="284"/>
        </w:tabs>
        <w:jc w:val="center"/>
        <w:rPr>
          <w:rFonts w:cs="Arial"/>
          <w:bCs/>
          <w:szCs w:val="22"/>
        </w:rPr>
      </w:pPr>
      <w:r w:rsidRPr="005113BD">
        <w:rPr>
          <w:rFonts w:cs="Arial"/>
          <w:bCs/>
          <w:szCs w:val="22"/>
        </w:rPr>
        <w:t>44. člen</w:t>
      </w:r>
    </w:p>
    <w:p w:rsidR="00610BD6" w:rsidRPr="005113BD" w:rsidRDefault="00610BD6" w:rsidP="00610BD6">
      <w:pPr>
        <w:tabs>
          <w:tab w:val="left" w:pos="284"/>
        </w:tabs>
        <w:jc w:val="center"/>
        <w:rPr>
          <w:rFonts w:cs="Arial"/>
          <w:bCs/>
          <w:szCs w:val="22"/>
        </w:rPr>
      </w:pPr>
      <w:r w:rsidRPr="005113BD">
        <w:rPr>
          <w:rFonts w:cs="Arial"/>
          <w:bCs/>
          <w:szCs w:val="22"/>
        </w:rPr>
        <w:t>(razsvetljava območja)</w:t>
      </w:r>
    </w:p>
    <w:p w:rsidR="00610BD6" w:rsidRPr="005113BD" w:rsidRDefault="00610BD6" w:rsidP="00610BD6">
      <w:pPr>
        <w:tabs>
          <w:tab w:val="left" w:pos="284"/>
        </w:tabs>
        <w:jc w:val="center"/>
        <w:rPr>
          <w:rFonts w:cs="Arial"/>
          <w:b/>
          <w:bCs/>
          <w:szCs w:val="22"/>
        </w:rPr>
      </w:pPr>
    </w:p>
    <w:p w:rsidR="00610BD6" w:rsidRPr="005113BD" w:rsidRDefault="00610BD6" w:rsidP="00610BD6">
      <w:pPr>
        <w:jc w:val="both"/>
        <w:rPr>
          <w:rFonts w:cs="Arial"/>
          <w:szCs w:val="22"/>
        </w:rPr>
      </w:pPr>
      <w:r w:rsidRPr="005113BD">
        <w:rPr>
          <w:rFonts w:cs="Arial"/>
          <w:szCs w:val="22"/>
        </w:rPr>
        <w:t xml:space="preserve">(1) Na območju OPPN ni obstoječe javne razsvetljave. Ob robu območja je načrtovana le povezava javne razsvetljave iz obstoječega </w:t>
      </w:r>
      <w:proofErr w:type="spellStart"/>
      <w:r w:rsidRPr="005113BD">
        <w:rPr>
          <w:rFonts w:cs="Arial"/>
          <w:szCs w:val="22"/>
        </w:rPr>
        <w:t>prižigališča</w:t>
      </w:r>
      <w:proofErr w:type="spellEnd"/>
      <w:r w:rsidRPr="005113BD">
        <w:rPr>
          <w:rFonts w:cs="Arial"/>
          <w:szCs w:val="22"/>
        </w:rPr>
        <w:t xml:space="preserve"> pri Komunalnemu podjetju Vrhnika in novim mostom čez Ljubljanico. Povezava javne razsvetljave je predvidena ob cesti Pot na Tojnice mimo čistilne naprave .</w:t>
      </w:r>
    </w:p>
    <w:p w:rsidR="00610BD6" w:rsidRPr="005113BD" w:rsidRDefault="00610BD6" w:rsidP="00610BD6">
      <w:pPr>
        <w:pStyle w:val="Telobesedila"/>
        <w:tabs>
          <w:tab w:val="left" w:pos="2127"/>
        </w:tabs>
        <w:snapToGrid w:val="0"/>
        <w:contextualSpacing/>
        <w:jc w:val="both"/>
        <w:rPr>
          <w:rFonts w:cs="Arial"/>
          <w:b w:val="0"/>
          <w:szCs w:val="22"/>
        </w:rPr>
      </w:pPr>
      <w:r>
        <w:rPr>
          <w:rFonts w:cs="Arial"/>
          <w:b w:val="0"/>
          <w:szCs w:val="22"/>
        </w:rPr>
        <w:t xml:space="preserve">(2) Vse </w:t>
      </w:r>
      <w:r w:rsidRPr="005113BD">
        <w:rPr>
          <w:rFonts w:cs="Arial"/>
          <w:b w:val="0"/>
          <w:szCs w:val="22"/>
        </w:rPr>
        <w:t xml:space="preserve">vozne, parkirne, pohodne in manipulativne površine v območju OPPN morajo biti razsvetljene s sistemom interne zunanje razsvetljave. </w:t>
      </w:r>
    </w:p>
    <w:p w:rsidR="00610BD6" w:rsidRPr="005113BD" w:rsidRDefault="00610BD6" w:rsidP="00610BD6">
      <w:pPr>
        <w:jc w:val="both"/>
        <w:rPr>
          <w:rFonts w:cs="Arial"/>
          <w:szCs w:val="22"/>
        </w:rPr>
      </w:pPr>
      <w:r w:rsidRPr="005113BD">
        <w:rPr>
          <w:rFonts w:cs="Arial"/>
          <w:szCs w:val="22"/>
        </w:rPr>
        <w:t xml:space="preserve">(3) V predvideno dovozno cesto je treba vgraditi cevno kanalizacijo za potrebe izvedbe interne razsvetljave. Kandelabri naj bodo nizki, višine med 4,00 in 5,00 m z ustreznimi svetilkami. </w:t>
      </w:r>
    </w:p>
    <w:p w:rsidR="00610BD6" w:rsidRPr="005113BD" w:rsidRDefault="00610BD6" w:rsidP="00610BD6">
      <w:pPr>
        <w:jc w:val="both"/>
        <w:rPr>
          <w:rFonts w:cs="Calibri"/>
        </w:rPr>
      </w:pPr>
      <w:r w:rsidRPr="005113BD">
        <w:rPr>
          <w:rFonts w:cs="Arial"/>
          <w:szCs w:val="22"/>
        </w:rPr>
        <w:t xml:space="preserve">(4) </w:t>
      </w:r>
      <w:r w:rsidRPr="005113BD">
        <w:rPr>
          <w:rFonts w:cs="Calibri"/>
        </w:rPr>
        <w:t>Zunanja razsvetljava bo krmiljena glede na svetlobno tehnične pogoje in časovne nastavitve, v smislu varčevanja energije. Izpolnjevati mora tudi zahteve glede zastrtosti bleščanja in svetlobnega onesnaževanja v skladu s področnimi predpisi.</w:t>
      </w:r>
    </w:p>
    <w:p w:rsidR="00610BD6" w:rsidRPr="005113BD" w:rsidRDefault="00610BD6" w:rsidP="00610BD6">
      <w:pPr>
        <w:jc w:val="both"/>
        <w:rPr>
          <w:b/>
          <w:szCs w:val="22"/>
        </w:rPr>
      </w:pPr>
    </w:p>
    <w:p w:rsidR="00610BD6" w:rsidRPr="005113BD" w:rsidRDefault="00610BD6" w:rsidP="00610BD6">
      <w:pPr>
        <w:jc w:val="both"/>
        <w:rPr>
          <w:rFonts w:cs="Arial"/>
          <w:bCs/>
          <w:szCs w:val="22"/>
        </w:rPr>
      </w:pPr>
      <w:r w:rsidRPr="005113BD">
        <w:rPr>
          <w:rFonts w:cs="Arial"/>
          <w:bCs/>
          <w:szCs w:val="22"/>
        </w:rPr>
        <w:t xml:space="preserve">X. PROGRAM OPREMLJANJA STAVBNIH ZEMLJIŠČ </w:t>
      </w:r>
    </w:p>
    <w:p w:rsidR="00610BD6" w:rsidRPr="005113BD" w:rsidRDefault="00610BD6" w:rsidP="00610BD6">
      <w:pPr>
        <w:rPr>
          <w:rFonts w:cs="Arial"/>
          <w:szCs w:val="22"/>
        </w:rPr>
      </w:pPr>
    </w:p>
    <w:p w:rsidR="00610BD6" w:rsidRPr="005113BD" w:rsidRDefault="00610BD6" w:rsidP="00610BD6">
      <w:pPr>
        <w:jc w:val="center"/>
        <w:rPr>
          <w:rFonts w:cs="Arial"/>
          <w:szCs w:val="22"/>
        </w:rPr>
      </w:pPr>
      <w:r w:rsidRPr="005113BD">
        <w:rPr>
          <w:rFonts w:cs="Arial"/>
          <w:szCs w:val="22"/>
        </w:rPr>
        <w:t>45. člen</w:t>
      </w:r>
    </w:p>
    <w:p w:rsidR="00610BD6" w:rsidRPr="005113BD" w:rsidRDefault="00610BD6" w:rsidP="00610BD6">
      <w:pPr>
        <w:jc w:val="center"/>
        <w:rPr>
          <w:rFonts w:cs="Arial"/>
          <w:szCs w:val="22"/>
        </w:rPr>
      </w:pPr>
      <w:r w:rsidRPr="005113BD">
        <w:rPr>
          <w:rFonts w:cs="Arial"/>
          <w:szCs w:val="22"/>
        </w:rPr>
        <w:t>(program opremljanja stavbnih zemljišč)</w:t>
      </w:r>
    </w:p>
    <w:p w:rsidR="00610BD6" w:rsidRPr="005113BD" w:rsidRDefault="00610BD6" w:rsidP="00610BD6">
      <w:pPr>
        <w:jc w:val="center"/>
        <w:rPr>
          <w:rFonts w:cs="Arial"/>
          <w:szCs w:val="22"/>
        </w:rPr>
      </w:pPr>
    </w:p>
    <w:p w:rsidR="00610BD6" w:rsidRPr="005113BD" w:rsidRDefault="00610BD6" w:rsidP="00610BD6">
      <w:pPr>
        <w:rPr>
          <w:rFonts w:cs="Arial"/>
          <w:szCs w:val="22"/>
        </w:rPr>
      </w:pPr>
      <w:r w:rsidRPr="005113BD">
        <w:rPr>
          <w:rFonts w:cs="Arial"/>
          <w:szCs w:val="22"/>
        </w:rPr>
        <w:t xml:space="preserve">(1) S tem odlokom se sprejmejo podlage za odmero komunalnega prispevka, ki so: </w:t>
      </w:r>
    </w:p>
    <w:p w:rsidR="00610BD6" w:rsidRPr="005113BD" w:rsidRDefault="00610BD6" w:rsidP="00610BD6">
      <w:pPr>
        <w:rPr>
          <w:rFonts w:cs="Arial"/>
          <w:szCs w:val="22"/>
        </w:rPr>
      </w:pPr>
      <w:r w:rsidRPr="005113BD">
        <w:rPr>
          <w:rFonts w:cs="Arial"/>
          <w:szCs w:val="22"/>
        </w:rPr>
        <w:t>obračunsko območje komunalne opreme, skupni in obračunski stroški komunalne opreme, preračun obračunskih stroškov na enoto mere in podrobnejša merila za izračun komunalnega prispevka.</w:t>
      </w:r>
    </w:p>
    <w:p w:rsidR="00610BD6" w:rsidRPr="005113BD" w:rsidRDefault="00610BD6" w:rsidP="00610BD6">
      <w:pPr>
        <w:rPr>
          <w:rFonts w:cs="Arial"/>
          <w:szCs w:val="22"/>
        </w:rPr>
      </w:pPr>
    </w:p>
    <w:p w:rsidR="00610BD6" w:rsidRPr="005113BD" w:rsidRDefault="00610BD6" w:rsidP="00610BD6">
      <w:pPr>
        <w:jc w:val="both"/>
        <w:rPr>
          <w:rFonts w:cs="Arial"/>
          <w:szCs w:val="22"/>
        </w:rPr>
      </w:pPr>
      <w:r w:rsidRPr="005113BD">
        <w:rPr>
          <w:rFonts w:cs="Arial"/>
          <w:szCs w:val="22"/>
        </w:rPr>
        <w:lastRenderedPageBreak/>
        <w:t>(2) Navedene podlage so podrobneje prikazane v Programu opremljanja stavbnih zemljišč (v nadaljevanju: Program opremljanja), katerega je pod številko projekta IUE_002-17 izdelalo podjetje IUE d.o.o. in je na vpogled na sedežu Občine Vrhnika.</w:t>
      </w:r>
    </w:p>
    <w:p w:rsidR="00610BD6" w:rsidRPr="005113BD" w:rsidRDefault="00610BD6" w:rsidP="00610BD6">
      <w:pPr>
        <w:rPr>
          <w:rFonts w:cs="Arial"/>
          <w:szCs w:val="22"/>
        </w:rPr>
      </w:pPr>
    </w:p>
    <w:p w:rsidR="00610BD6" w:rsidRPr="005113BD" w:rsidRDefault="00610BD6" w:rsidP="00610BD6">
      <w:pPr>
        <w:jc w:val="center"/>
        <w:rPr>
          <w:rFonts w:cs="Arial"/>
          <w:szCs w:val="22"/>
        </w:rPr>
      </w:pPr>
      <w:r w:rsidRPr="005113BD">
        <w:rPr>
          <w:rFonts w:cs="Arial"/>
          <w:szCs w:val="22"/>
        </w:rPr>
        <w:t>46. člen</w:t>
      </w:r>
    </w:p>
    <w:p w:rsidR="00610BD6" w:rsidRPr="005113BD" w:rsidRDefault="00610BD6" w:rsidP="00610BD6">
      <w:pPr>
        <w:jc w:val="center"/>
        <w:rPr>
          <w:rFonts w:cs="Arial"/>
          <w:szCs w:val="22"/>
        </w:rPr>
      </w:pPr>
      <w:r w:rsidRPr="005113BD">
        <w:rPr>
          <w:rFonts w:cs="Arial"/>
          <w:szCs w:val="22"/>
        </w:rPr>
        <w:t>(komunalna oprema)</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Program opremljanja določa  gradnjo nove komunalne opreme:</w:t>
      </w:r>
    </w:p>
    <w:p w:rsidR="00610BD6" w:rsidRPr="005113BD" w:rsidRDefault="00610BD6" w:rsidP="00610BD6">
      <w:pPr>
        <w:tabs>
          <w:tab w:val="left" w:pos="284"/>
        </w:tabs>
        <w:ind w:left="284" w:hanging="284"/>
        <w:jc w:val="both"/>
        <w:rPr>
          <w:rFonts w:cs="Arial"/>
          <w:szCs w:val="22"/>
        </w:rPr>
      </w:pPr>
      <w:r w:rsidRPr="005113BD">
        <w:rPr>
          <w:rFonts w:cs="Arial"/>
          <w:szCs w:val="22"/>
        </w:rPr>
        <w:t>-</w:t>
      </w:r>
      <w:r w:rsidRPr="005113BD">
        <w:rPr>
          <w:rFonts w:cs="Arial"/>
          <w:szCs w:val="22"/>
        </w:rPr>
        <w:tab/>
        <w:t>vodovodno omrežje in</w:t>
      </w:r>
    </w:p>
    <w:p w:rsidR="00610BD6" w:rsidRPr="005113BD" w:rsidRDefault="00610BD6" w:rsidP="00610BD6">
      <w:pPr>
        <w:tabs>
          <w:tab w:val="left" w:pos="284"/>
        </w:tabs>
        <w:ind w:left="284" w:hanging="284"/>
        <w:jc w:val="both"/>
        <w:rPr>
          <w:rFonts w:cs="Arial"/>
          <w:szCs w:val="22"/>
        </w:rPr>
      </w:pPr>
      <w:r w:rsidRPr="005113BD">
        <w:rPr>
          <w:rFonts w:cs="Arial"/>
          <w:szCs w:val="22"/>
        </w:rPr>
        <w:t>-</w:t>
      </w:r>
      <w:r w:rsidRPr="005113BD">
        <w:rPr>
          <w:rFonts w:cs="Arial"/>
          <w:szCs w:val="22"/>
        </w:rPr>
        <w:tab/>
        <w:t>kanalizacijsko omrežje.</w:t>
      </w:r>
    </w:p>
    <w:p w:rsidR="00610BD6" w:rsidRPr="005113BD" w:rsidRDefault="00610BD6" w:rsidP="00610BD6">
      <w:pPr>
        <w:jc w:val="center"/>
        <w:rPr>
          <w:rFonts w:cs="Arial"/>
          <w:szCs w:val="22"/>
        </w:rPr>
      </w:pPr>
    </w:p>
    <w:p w:rsidR="00610BD6" w:rsidRPr="005113BD" w:rsidRDefault="00610BD6" w:rsidP="00610BD6">
      <w:pPr>
        <w:jc w:val="center"/>
        <w:rPr>
          <w:rFonts w:cs="Arial"/>
          <w:szCs w:val="22"/>
        </w:rPr>
      </w:pPr>
      <w:r w:rsidRPr="005113BD">
        <w:rPr>
          <w:rFonts w:cs="Arial"/>
          <w:szCs w:val="22"/>
        </w:rPr>
        <w:t>47. člen</w:t>
      </w:r>
    </w:p>
    <w:p w:rsidR="00610BD6" w:rsidRPr="005113BD" w:rsidRDefault="00610BD6" w:rsidP="00610BD6">
      <w:pPr>
        <w:jc w:val="center"/>
        <w:rPr>
          <w:rFonts w:cs="Arial"/>
          <w:szCs w:val="22"/>
        </w:rPr>
      </w:pPr>
      <w:r w:rsidRPr="005113BD">
        <w:rPr>
          <w:rFonts w:cs="Arial"/>
          <w:szCs w:val="22"/>
        </w:rPr>
        <w:t>(obračunska območja posameznih vrst komunalne opreme)</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 xml:space="preserve"> (1) Obračunsko območje obsega območje OPPN  za industrijsko cono Tojnice 1 oziroma Prostorske  enote P1, P2, P3 in C1.</w:t>
      </w:r>
    </w:p>
    <w:p w:rsidR="00610BD6" w:rsidRPr="005113BD" w:rsidRDefault="00610BD6" w:rsidP="00610BD6">
      <w:pPr>
        <w:jc w:val="both"/>
        <w:rPr>
          <w:rFonts w:cs="Arial"/>
          <w:szCs w:val="22"/>
        </w:rPr>
      </w:pPr>
      <w:r w:rsidRPr="005113BD">
        <w:rPr>
          <w:rFonts w:cs="Arial"/>
          <w:szCs w:val="22"/>
        </w:rPr>
        <w:t>(2) Obračunsko območje se skladno z določili vsakokrat veljavnega programa opremljanja  stavbnih zemljišč za območje občine Vrhnika, upošteva kot komunalno opremljeno.</w:t>
      </w:r>
    </w:p>
    <w:p w:rsidR="00610BD6" w:rsidRPr="005113BD" w:rsidRDefault="00610BD6" w:rsidP="00610BD6">
      <w:pPr>
        <w:rPr>
          <w:rFonts w:cs="Arial"/>
          <w:szCs w:val="22"/>
        </w:rPr>
      </w:pPr>
    </w:p>
    <w:p w:rsidR="00610BD6" w:rsidRPr="005113BD" w:rsidRDefault="00610BD6" w:rsidP="00610BD6">
      <w:pPr>
        <w:jc w:val="center"/>
        <w:rPr>
          <w:rFonts w:cs="Arial"/>
          <w:szCs w:val="22"/>
        </w:rPr>
      </w:pPr>
      <w:r w:rsidRPr="005113BD">
        <w:rPr>
          <w:rFonts w:cs="Arial"/>
          <w:szCs w:val="22"/>
        </w:rPr>
        <w:t>48. člen</w:t>
      </w:r>
    </w:p>
    <w:p w:rsidR="00610BD6" w:rsidRPr="005113BD" w:rsidRDefault="00610BD6" w:rsidP="00610BD6">
      <w:pPr>
        <w:jc w:val="center"/>
        <w:rPr>
          <w:rFonts w:cs="Arial"/>
          <w:szCs w:val="22"/>
        </w:rPr>
      </w:pPr>
      <w:r w:rsidRPr="005113BD">
        <w:rPr>
          <w:rFonts w:cs="Arial"/>
          <w:szCs w:val="22"/>
        </w:rPr>
        <w:t>(skupni in obračunski stroški komunalne opreme)</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Skupni stroški izgradnje nove komunalne opreme so enaki in obračunskim stroškom in znašajo   181.997,90 EUR. Na dan uveljavitve odloka so po posameznih vrstah komunalne opreme, naslednji:</w:t>
      </w:r>
    </w:p>
    <w:p w:rsidR="00610BD6" w:rsidRPr="005113BD" w:rsidRDefault="00610BD6" w:rsidP="00610BD6">
      <w:pPr>
        <w:jc w:val="both"/>
        <w:rPr>
          <w:rFonts w:cs="Arial"/>
          <w:szCs w:val="22"/>
        </w:rPr>
      </w:pPr>
    </w:p>
    <w:tbl>
      <w:tblPr>
        <w:tblW w:w="8668" w:type="dxa"/>
        <w:tblInd w:w="58" w:type="dxa"/>
        <w:shd w:val="clear" w:color="auto" w:fill="FFFFFF"/>
        <w:tblCellMar>
          <w:left w:w="70" w:type="dxa"/>
          <w:right w:w="70" w:type="dxa"/>
        </w:tblCellMar>
        <w:tblLook w:val="04A0" w:firstRow="1" w:lastRow="0" w:firstColumn="1" w:lastColumn="0" w:noHBand="0" w:noVBand="1"/>
      </w:tblPr>
      <w:tblGrid>
        <w:gridCol w:w="2847"/>
        <w:gridCol w:w="1701"/>
        <w:gridCol w:w="1620"/>
        <w:gridCol w:w="940"/>
        <w:gridCol w:w="1560"/>
      </w:tblGrid>
      <w:tr w:rsidR="00610BD6" w:rsidRPr="005113BD" w:rsidTr="00C67FA6">
        <w:trPr>
          <w:trHeight w:val="397"/>
        </w:trPr>
        <w:tc>
          <w:tcPr>
            <w:tcW w:w="2847"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10BD6" w:rsidRPr="005113BD" w:rsidRDefault="00610BD6" w:rsidP="00C67FA6">
            <w:pPr>
              <w:rPr>
                <w:rFonts w:cs="Arial"/>
                <w:bCs/>
                <w:szCs w:val="22"/>
              </w:rPr>
            </w:pPr>
            <w:r w:rsidRPr="005113BD">
              <w:rPr>
                <w:rFonts w:cs="Arial"/>
                <w:bCs/>
                <w:szCs w:val="22"/>
              </w:rPr>
              <w:t>REKAPITULACIJA STROŠKOV - SKUPAJ PO VRSTAH KOMUNALNE OPREME</w:t>
            </w:r>
          </w:p>
        </w:tc>
        <w:tc>
          <w:tcPr>
            <w:tcW w:w="1701" w:type="dxa"/>
            <w:tcBorders>
              <w:top w:val="single" w:sz="4" w:space="0" w:color="auto"/>
              <w:left w:val="nil"/>
              <w:bottom w:val="single" w:sz="4" w:space="0" w:color="auto"/>
              <w:right w:val="single" w:sz="4" w:space="0" w:color="auto"/>
            </w:tcBorders>
            <w:shd w:val="clear" w:color="auto" w:fill="FFFFFF"/>
            <w:vAlign w:val="bottom"/>
            <w:hideMark/>
          </w:tcPr>
          <w:p w:rsidR="00610BD6" w:rsidRPr="005113BD" w:rsidRDefault="00610BD6" w:rsidP="00C67FA6">
            <w:pPr>
              <w:jc w:val="center"/>
              <w:rPr>
                <w:rFonts w:cs="Arial"/>
                <w:bCs/>
                <w:szCs w:val="22"/>
              </w:rPr>
            </w:pPr>
            <w:r w:rsidRPr="005113BD">
              <w:rPr>
                <w:rFonts w:cs="Arial"/>
                <w:bCs/>
                <w:szCs w:val="22"/>
              </w:rPr>
              <w:t>SKUPNI STROŠKI brez DDV</w:t>
            </w:r>
          </w:p>
        </w:tc>
        <w:tc>
          <w:tcPr>
            <w:tcW w:w="1620" w:type="dxa"/>
            <w:tcBorders>
              <w:top w:val="single" w:sz="4" w:space="0" w:color="auto"/>
              <w:left w:val="nil"/>
              <w:bottom w:val="single" w:sz="4" w:space="0" w:color="auto"/>
              <w:right w:val="single" w:sz="4" w:space="0" w:color="auto"/>
            </w:tcBorders>
            <w:shd w:val="clear" w:color="auto" w:fill="FFFFFF"/>
            <w:vAlign w:val="bottom"/>
            <w:hideMark/>
          </w:tcPr>
          <w:p w:rsidR="00610BD6" w:rsidRPr="005113BD" w:rsidRDefault="00610BD6" w:rsidP="00C67FA6">
            <w:pPr>
              <w:jc w:val="center"/>
              <w:rPr>
                <w:rFonts w:cs="Arial"/>
                <w:bCs/>
                <w:szCs w:val="22"/>
              </w:rPr>
            </w:pPr>
            <w:r w:rsidRPr="005113BD">
              <w:rPr>
                <w:rFonts w:cs="Arial"/>
                <w:bCs/>
                <w:szCs w:val="22"/>
              </w:rPr>
              <w:t>SKUPNI STROŠKI z DDV</w:t>
            </w:r>
          </w:p>
        </w:tc>
        <w:tc>
          <w:tcPr>
            <w:tcW w:w="2500" w:type="dxa"/>
            <w:gridSpan w:val="2"/>
            <w:tcBorders>
              <w:top w:val="single" w:sz="4" w:space="0" w:color="auto"/>
              <w:left w:val="nil"/>
              <w:bottom w:val="single" w:sz="4" w:space="0" w:color="auto"/>
              <w:right w:val="single" w:sz="4" w:space="0" w:color="auto"/>
            </w:tcBorders>
            <w:shd w:val="clear" w:color="auto" w:fill="FFFFFF"/>
            <w:vAlign w:val="bottom"/>
            <w:hideMark/>
          </w:tcPr>
          <w:p w:rsidR="00610BD6" w:rsidRPr="005113BD" w:rsidRDefault="00610BD6" w:rsidP="00C67FA6">
            <w:pPr>
              <w:jc w:val="center"/>
              <w:rPr>
                <w:rFonts w:cs="Arial"/>
                <w:bCs/>
                <w:szCs w:val="22"/>
              </w:rPr>
            </w:pPr>
            <w:r w:rsidRPr="005113BD">
              <w:rPr>
                <w:rFonts w:cs="Arial"/>
                <w:bCs/>
                <w:szCs w:val="22"/>
              </w:rPr>
              <w:t>OBRAČUNSKI STROŠKI</w:t>
            </w:r>
          </w:p>
        </w:tc>
      </w:tr>
      <w:tr w:rsidR="00610BD6" w:rsidRPr="005113BD" w:rsidTr="00C67FA6">
        <w:trPr>
          <w:trHeight w:val="397"/>
        </w:trPr>
        <w:tc>
          <w:tcPr>
            <w:tcW w:w="28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10BD6" w:rsidRPr="005113BD" w:rsidRDefault="00610BD6" w:rsidP="00C67FA6">
            <w:pPr>
              <w:rPr>
                <w:rFonts w:cs="Arial"/>
                <w:bCs/>
                <w:szCs w:val="22"/>
              </w:rPr>
            </w:pPr>
          </w:p>
        </w:tc>
        <w:tc>
          <w:tcPr>
            <w:tcW w:w="1701"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center"/>
              <w:rPr>
                <w:rFonts w:cs="Arial"/>
                <w:bCs/>
                <w:szCs w:val="22"/>
              </w:rPr>
            </w:pPr>
            <w:r w:rsidRPr="005113BD">
              <w:rPr>
                <w:rFonts w:cs="Arial"/>
                <w:bCs/>
                <w:szCs w:val="22"/>
              </w:rPr>
              <w:t>(EUR)</w:t>
            </w:r>
          </w:p>
        </w:tc>
        <w:tc>
          <w:tcPr>
            <w:tcW w:w="162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center"/>
              <w:rPr>
                <w:rFonts w:cs="Arial"/>
                <w:bCs/>
                <w:szCs w:val="22"/>
              </w:rPr>
            </w:pPr>
            <w:r w:rsidRPr="005113BD">
              <w:rPr>
                <w:rFonts w:cs="Arial"/>
                <w:bCs/>
                <w:szCs w:val="22"/>
              </w:rPr>
              <w:t>(EUR)</w:t>
            </w:r>
          </w:p>
        </w:tc>
        <w:tc>
          <w:tcPr>
            <w:tcW w:w="94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center"/>
              <w:rPr>
                <w:rFonts w:cs="Arial"/>
                <w:bCs/>
                <w:szCs w:val="22"/>
              </w:rPr>
            </w:pPr>
            <w:r w:rsidRPr="005113BD">
              <w:rPr>
                <w:rFonts w:cs="Arial"/>
                <w:bCs/>
                <w:szCs w:val="22"/>
              </w:rPr>
              <w:t>faktorji</w:t>
            </w:r>
          </w:p>
        </w:tc>
        <w:tc>
          <w:tcPr>
            <w:tcW w:w="156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center"/>
              <w:rPr>
                <w:rFonts w:cs="Arial"/>
                <w:bCs/>
                <w:szCs w:val="22"/>
              </w:rPr>
            </w:pPr>
            <w:r w:rsidRPr="005113BD">
              <w:rPr>
                <w:rFonts w:cs="Arial"/>
                <w:bCs/>
                <w:szCs w:val="22"/>
              </w:rPr>
              <w:t>(EUR)</w:t>
            </w:r>
          </w:p>
        </w:tc>
      </w:tr>
      <w:tr w:rsidR="00610BD6" w:rsidRPr="005113BD" w:rsidTr="00C67FA6">
        <w:trPr>
          <w:trHeight w:val="397"/>
        </w:trPr>
        <w:tc>
          <w:tcPr>
            <w:tcW w:w="2847" w:type="dxa"/>
            <w:tcBorders>
              <w:top w:val="nil"/>
              <w:left w:val="single" w:sz="4" w:space="0" w:color="auto"/>
              <w:bottom w:val="single" w:sz="4" w:space="0" w:color="auto"/>
              <w:right w:val="single" w:sz="4" w:space="0" w:color="auto"/>
            </w:tcBorders>
            <w:shd w:val="clear" w:color="auto" w:fill="FFFFFF"/>
            <w:vAlign w:val="bottom"/>
            <w:hideMark/>
          </w:tcPr>
          <w:p w:rsidR="00610BD6" w:rsidRPr="005113BD" w:rsidRDefault="00610BD6" w:rsidP="00C67FA6">
            <w:pPr>
              <w:rPr>
                <w:rFonts w:cs="Arial"/>
                <w:szCs w:val="22"/>
              </w:rPr>
            </w:pPr>
            <w:r w:rsidRPr="005113BD">
              <w:rPr>
                <w:rFonts w:cs="Arial"/>
                <w:szCs w:val="22"/>
              </w:rPr>
              <w:t>VODOVODNO OMREŽJE v cesti C1 in prostorski enoti  P3 ter v cesti Pot na Tojnice</w:t>
            </w:r>
          </w:p>
        </w:tc>
        <w:tc>
          <w:tcPr>
            <w:tcW w:w="1701"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szCs w:val="22"/>
              </w:rPr>
            </w:pPr>
            <w:r w:rsidRPr="005113BD">
              <w:rPr>
                <w:rFonts w:cs="Arial"/>
                <w:szCs w:val="22"/>
              </w:rPr>
              <w:t>99.386,00</w:t>
            </w:r>
          </w:p>
        </w:tc>
        <w:tc>
          <w:tcPr>
            <w:tcW w:w="162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szCs w:val="22"/>
              </w:rPr>
            </w:pPr>
            <w:r w:rsidRPr="005113BD">
              <w:rPr>
                <w:rFonts w:cs="Arial"/>
                <w:szCs w:val="22"/>
              </w:rPr>
              <w:t>99.386,00</w:t>
            </w:r>
          </w:p>
        </w:tc>
        <w:tc>
          <w:tcPr>
            <w:tcW w:w="94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szCs w:val="22"/>
              </w:rPr>
            </w:pPr>
            <w:r w:rsidRPr="005113BD">
              <w:rPr>
                <w:rFonts w:cs="Arial"/>
                <w:szCs w:val="22"/>
              </w:rPr>
              <w:t>1</w:t>
            </w:r>
          </w:p>
        </w:tc>
        <w:tc>
          <w:tcPr>
            <w:tcW w:w="156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szCs w:val="22"/>
              </w:rPr>
            </w:pPr>
            <w:r w:rsidRPr="005113BD">
              <w:rPr>
                <w:rFonts w:cs="Arial"/>
                <w:szCs w:val="22"/>
              </w:rPr>
              <w:t>99.386,00</w:t>
            </w:r>
          </w:p>
        </w:tc>
      </w:tr>
      <w:tr w:rsidR="00610BD6" w:rsidRPr="005113BD" w:rsidTr="00C67FA6">
        <w:trPr>
          <w:trHeight w:val="397"/>
        </w:trPr>
        <w:tc>
          <w:tcPr>
            <w:tcW w:w="2847" w:type="dxa"/>
            <w:tcBorders>
              <w:top w:val="nil"/>
              <w:left w:val="single" w:sz="4" w:space="0" w:color="auto"/>
              <w:bottom w:val="single" w:sz="4" w:space="0" w:color="auto"/>
              <w:right w:val="single" w:sz="4" w:space="0" w:color="auto"/>
            </w:tcBorders>
            <w:shd w:val="clear" w:color="auto" w:fill="FFFFFF"/>
            <w:vAlign w:val="bottom"/>
            <w:hideMark/>
          </w:tcPr>
          <w:p w:rsidR="00610BD6" w:rsidRPr="005113BD" w:rsidRDefault="00610BD6" w:rsidP="00C67FA6">
            <w:pPr>
              <w:rPr>
                <w:rFonts w:cs="Arial"/>
                <w:szCs w:val="22"/>
              </w:rPr>
            </w:pPr>
            <w:r w:rsidRPr="005113BD">
              <w:rPr>
                <w:rFonts w:cs="Arial"/>
                <w:szCs w:val="22"/>
              </w:rPr>
              <w:t>KANALIZACIJSKO OMREŽJE-fekalna kanalizacija v cesti C1 in  prostorski enoti  P3</w:t>
            </w:r>
          </w:p>
        </w:tc>
        <w:tc>
          <w:tcPr>
            <w:tcW w:w="1701"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szCs w:val="22"/>
              </w:rPr>
            </w:pPr>
            <w:r w:rsidRPr="005113BD">
              <w:rPr>
                <w:rFonts w:cs="Arial"/>
                <w:szCs w:val="22"/>
              </w:rPr>
              <w:t>82.611,90</w:t>
            </w:r>
          </w:p>
        </w:tc>
        <w:tc>
          <w:tcPr>
            <w:tcW w:w="162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szCs w:val="22"/>
              </w:rPr>
            </w:pPr>
            <w:r w:rsidRPr="005113BD">
              <w:rPr>
                <w:rFonts w:cs="Arial"/>
                <w:szCs w:val="22"/>
              </w:rPr>
              <w:t>82.611,90</w:t>
            </w:r>
          </w:p>
        </w:tc>
        <w:tc>
          <w:tcPr>
            <w:tcW w:w="94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szCs w:val="22"/>
              </w:rPr>
            </w:pPr>
            <w:r w:rsidRPr="005113BD">
              <w:rPr>
                <w:rFonts w:cs="Arial"/>
                <w:szCs w:val="22"/>
              </w:rPr>
              <w:t>1</w:t>
            </w:r>
          </w:p>
        </w:tc>
        <w:tc>
          <w:tcPr>
            <w:tcW w:w="156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szCs w:val="22"/>
              </w:rPr>
            </w:pPr>
            <w:r w:rsidRPr="005113BD">
              <w:rPr>
                <w:rFonts w:cs="Arial"/>
                <w:szCs w:val="22"/>
              </w:rPr>
              <w:t>82.611,90</w:t>
            </w:r>
          </w:p>
        </w:tc>
      </w:tr>
      <w:tr w:rsidR="00610BD6" w:rsidRPr="005113BD" w:rsidTr="00C67FA6">
        <w:trPr>
          <w:trHeight w:val="397"/>
        </w:trPr>
        <w:tc>
          <w:tcPr>
            <w:tcW w:w="2847" w:type="dxa"/>
            <w:tcBorders>
              <w:top w:val="nil"/>
              <w:left w:val="single" w:sz="4" w:space="0" w:color="auto"/>
              <w:bottom w:val="single" w:sz="4" w:space="0" w:color="auto"/>
              <w:right w:val="single" w:sz="4" w:space="0" w:color="auto"/>
            </w:tcBorders>
            <w:shd w:val="clear" w:color="auto" w:fill="FFFFFF"/>
            <w:vAlign w:val="bottom"/>
            <w:hideMark/>
          </w:tcPr>
          <w:p w:rsidR="00610BD6" w:rsidRPr="005113BD" w:rsidRDefault="00610BD6" w:rsidP="00C67FA6">
            <w:pPr>
              <w:rPr>
                <w:rFonts w:cs="Arial"/>
                <w:bCs/>
                <w:szCs w:val="22"/>
              </w:rPr>
            </w:pPr>
            <w:r w:rsidRPr="005113BD">
              <w:rPr>
                <w:rFonts w:cs="Arial"/>
                <w:bCs/>
                <w:szCs w:val="22"/>
              </w:rPr>
              <w:t xml:space="preserve">SKUPAJ </w:t>
            </w:r>
          </w:p>
        </w:tc>
        <w:tc>
          <w:tcPr>
            <w:tcW w:w="1701"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szCs w:val="22"/>
              </w:rPr>
            </w:pPr>
          </w:p>
          <w:p w:rsidR="00610BD6" w:rsidRPr="005113BD" w:rsidRDefault="00610BD6" w:rsidP="00C67FA6">
            <w:pPr>
              <w:jc w:val="right"/>
              <w:rPr>
                <w:rFonts w:cs="Arial"/>
                <w:bCs/>
                <w:szCs w:val="22"/>
              </w:rPr>
            </w:pPr>
            <w:r w:rsidRPr="005113BD">
              <w:rPr>
                <w:rFonts w:cs="Arial"/>
                <w:szCs w:val="22"/>
              </w:rPr>
              <w:t>181.997,90</w:t>
            </w:r>
          </w:p>
        </w:tc>
        <w:tc>
          <w:tcPr>
            <w:tcW w:w="162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bCs/>
                <w:szCs w:val="22"/>
              </w:rPr>
            </w:pPr>
            <w:r w:rsidRPr="005113BD">
              <w:rPr>
                <w:rFonts w:cs="Arial"/>
                <w:szCs w:val="22"/>
              </w:rPr>
              <w:t>181.997,90</w:t>
            </w:r>
          </w:p>
        </w:tc>
        <w:tc>
          <w:tcPr>
            <w:tcW w:w="94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bCs/>
                <w:szCs w:val="22"/>
              </w:rPr>
            </w:pPr>
            <w:r w:rsidRPr="005113BD">
              <w:rPr>
                <w:rFonts w:cs="Arial"/>
                <w:bCs/>
                <w:szCs w:val="22"/>
              </w:rPr>
              <w:t> </w:t>
            </w:r>
          </w:p>
        </w:tc>
        <w:tc>
          <w:tcPr>
            <w:tcW w:w="1560" w:type="dxa"/>
            <w:tcBorders>
              <w:top w:val="nil"/>
              <w:left w:val="nil"/>
              <w:bottom w:val="single" w:sz="4" w:space="0" w:color="auto"/>
              <w:right w:val="single" w:sz="4" w:space="0" w:color="auto"/>
            </w:tcBorders>
            <w:shd w:val="clear" w:color="auto" w:fill="FFFFFF"/>
            <w:vAlign w:val="bottom"/>
            <w:hideMark/>
          </w:tcPr>
          <w:p w:rsidR="00610BD6" w:rsidRPr="005113BD" w:rsidRDefault="00610BD6" w:rsidP="00C67FA6">
            <w:pPr>
              <w:jc w:val="right"/>
              <w:rPr>
                <w:rFonts w:cs="Arial"/>
                <w:bCs/>
                <w:szCs w:val="22"/>
              </w:rPr>
            </w:pPr>
            <w:r w:rsidRPr="005113BD">
              <w:rPr>
                <w:rFonts w:cs="Arial"/>
                <w:szCs w:val="22"/>
              </w:rPr>
              <w:t>181.997,90</w:t>
            </w:r>
          </w:p>
        </w:tc>
      </w:tr>
    </w:tbl>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 xml:space="preserve">Skupni in obračunski stroški za vodovodno ter fekalno kanalizacijsko omrežje ne vključujejo DDV. </w:t>
      </w:r>
    </w:p>
    <w:p w:rsidR="00610BD6" w:rsidRPr="005113BD" w:rsidRDefault="00610BD6" w:rsidP="00610BD6">
      <w:pPr>
        <w:rPr>
          <w:rFonts w:cs="Arial"/>
          <w:szCs w:val="22"/>
        </w:rPr>
      </w:pPr>
    </w:p>
    <w:p w:rsidR="00610BD6" w:rsidRPr="005113BD" w:rsidRDefault="00610BD6" w:rsidP="00610BD6">
      <w:pPr>
        <w:jc w:val="center"/>
        <w:rPr>
          <w:rFonts w:cs="Arial"/>
          <w:szCs w:val="22"/>
        </w:rPr>
      </w:pPr>
      <w:r w:rsidRPr="005113BD">
        <w:rPr>
          <w:rFonts w:cs="Arial"/>
          <w:szCs w:val="22"/>
        </w:rPr>
        <w:t>49. člen</w:t>
      </w:r>
    </w:p>
    <w:p w:rsidR="00610BD6" w:rsidRPr="005113BD" w:rsidRDefault="00610BD6" w:rsidP="00610BD6">
      <w:pPr>
        <w:jc w:val="center"/>
        <w:rPr>
          <w:rFonts w:cs="Arial"/>
          <w:szCs w:val="22"/>
        </w:rPr>
      </w:pPr>
      <w:r w:rsidRPr="005113BD">
        <w:rPr>
          <w:rFonts w:cs="Arial"/>
          <w:szCs w:val="22"/>
        </w:rPr>
        <w:t>(preračun obračunskih stroškov komunalne opreme na enoto mere)</w:t>
      </w:r>
    </w:p>
    <w:p w:rsidR="00610BD6" w:rsidRPr="005113BD" w:rsidRDefault="00610BD6" w:rsidP="00610BD6">
      <w:pPr>
        <w:rPr>
          <w:rFonts w:cs="Arial"/>
          <w:szCs w:val="22"/>
        </w:rPr>
      </w:pPr>
    </w:p>
    <w:p w:rsidR="00610BD6" w:rsidRPr="005113BD" w:rsidRDefault="00610BD6" w:rsidP="00610BD6">
      <w:pPr>
        <w:rPr>
          <w:rFonts w:cs="Arial"/>
          <w:szCs w:val="22"/>
          <w:u w:val="single"/>
        </w:rPr>
      </w:pPr>
      <w:r w:rsidRPr="005113BD">
        <w:rPr>
          <w:rFonts w:cs="Arial"/>
          <w:szCs w:val="22"/>
          <w:u w:val="single"/>
        </w:rPr>
        <w:t>Predvidena komunalna oprema</w:t>
      </w:r>
    </w:p>
    <w:p w:rsidR="00610BD6" w:rsidRPr="005113BD" w:rsidRDefault="00610BD6" w:rsidP="00610BD6">
      <w:pPr>
        <w:rPr>
          <w:rFonts w:cs="Arial"/>
          <w:szCs w:val="22"/>
          <w:u w:val="single"/>
        </w:rPr>
      </w:pPr>
    </w:p>
    <w:p w:rsidR="00610BD6" w:rsidRPr="005113BD" w:rsidRDefault="00610BD6" w:rsidP="00610BD6">
      <w:pPr>
        <w:numPr>
          <w:ilvl w:val="0"/>
          <w:numId w:val="17"/>
        </w:numPr>
        <w:ind w:left="0" w:firstLine="0"/>
        <w:jc w:val="both"/>
        <w:rPr>
          <w:rFonts w:cs="Arial"/>
          <w:szCs w:val="22"/>
        </w:rPr>
      </w:pPr>
      <w:r w:rsidRPr="005113BD">
        <w:rPr>
          <w:rFonts w:cs="Arial"/>
          <w:szCs w:val="22"/>
        </w:rPr>
        <w:t xml:space="preserve">Obračunski stroški predvidene komunalne opreme, preračunani na m2 parcele namenjene gradnji (v nadaljevanju: </w:t>
      </w:r>
      <w:proofErr w:type="spellStart"/>
      <w:r w:rsidRPr="005113BD">
        <w:rPr>
          <w:rFonts w:cs="Arial"/>
          <w:szCs w:val="22"/>
        </w:rPr>
        <w:t>Cp</w:t>
      </w:r>
      <w:proofErr w:type="spellEnd"/>
      <w:r w:rsidRPr="005113BD">
        <w:rPr>
          <w:rFonts w:cs="Arial"/>
          <w:szCs w:val="22"/>
        </w:rPr>
        <w:t xml:space="preserve">) in na m2 neto tlorisne površine objekta (v nadaljevanju: </w:t>
      </w:r>
      <w:proofErr w:type="spellStart"/>
      <w:r w:rsidRPr="005113BD">
        <w:rPr>
          <w:rFonts w:cs="Arial"/>
          <w:szCs w:val="22"/>
        </w:rPr>
        <w:t>Ct</w:t>
      </w:r>
      <w:proofErr w:type="spellEnd"/>
      <w:r w:rsidRPr="005113BD">
        <w:rPr>
          <w:rFonts w:cs="Arial"/>
          <w:szCs w:val="22"/>
        </w:rPr>
        <w:t>), po posameznih vrstah predvidene komunalne opreme, po obračunskih območjih so:</w:t>
      </w:r>
    </w:p>
    <w:p w:rsidR="00610BD6" w:rsidRPr="005113BD" w:rsidRDefault="00610BD6" w:rsidP="00610BD6">
      <w:pPr>
        <w:jc w:val="both"/>
        <w:rPr>
          <w:rFonts w:cs="Arial"/>
          <w:szCs w:val="22"/>
        </w:rPr>
      </w:pPr>
    </w:p>
    <w:tbl>
      <w:tblPr>
        <w:tblW w:w="67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3700"/>
        <w:gridCol w:w="1626"/>
        <w:gridCol w:w="1374"/>
      </w:tblGrid>
      <w:tr w:rsidR="00610BD6" w:rsidRPr="005113BD" w:rsidTr="00C67FA6">
        <w:trPr>
          <w:trHeight w:val="57"/>
        </w:trPr>
        <w:tc>
          <w:tcPr>
            <w:tcW w:w="3700" w:type="dxa"/>
            <w:vMerge w:val="restart"/>
            <w:shd w:val="clear" w:color="auto" w:fill="FFFFFF"/>
            <w:noWrap/>
            <w:vAlign w:val="bottom"/>
            <w:hideMark/>
          </w:tcPr>
          <w:p w:rsidR="00610BD6" w:rsidRPr="005113BD" w:rsidRDefault="00610BD6" w:rsidP="00C67FA6">
            <w:pPr>
              <w:rPr>
                <w:rFonts w:cs="Arial"/>
                <w:bCs/>
                <w:szCs w:val="22"/>
              </w:rPr>
            </w:pPr>
          </w:p>
          <w:p w:rsidR="00610BD6" w:rsidRPr="005113BD" w:rsidRDefault="00610BD6" w:rsidP="00C67FA6">
            <w:pPr>
              <w:rPr>
                <w:rFonts w:cs="Arial"/>
                <w:szCs w:val="22"/>
              </w:rPr>
            </w:pPr>
            <w:r w:rsidRPr="005113BD">
              <w:rPr>
                <w:rFonts w:cs="Arial"/>
                <w:bCs/>
                <w:szCs w:val="22"/>
              </w:rPr>
              <w:t>Nova komunalna oprema</w:t>
            </w:r>
          </w:p>
          <w:p w:rsidR="00610BD6" w:rsidRPr="005113BD" w:rsidRDefault="00610BD6" w:rsidP="00C67FA6">
            <w:pPr>
              <w:rPr>
                <w:rFonts w:cs="Arial"/>
                <w:bCs/>
                <w:szCs w:val="22"/>
              </w:rPr>
            </w:pPr>
            <w:r w:rsidRPr="005113BD">
              <w:rPr>
                <w:rFonts w:cs="Arial"/>
                <w:szCs w:val="22"/>
              </w:rPr>
              <w:t> </w:t>
            </w:r>
          </w:p>
        </w:tc>
        <w:tc>
          <w:tcPr>
            <w:tcW w:w="3000" w:type="dxa"/>
            <w:gridSpan w:val="2"/>
            <w:shd w:val="clear" w:color="auto" w:fill="FFFFFF"/>
            <w:noWrap/>
            <w:vAlign w:val="bottom"/>
            <w:hideMark/>
          </w:tcPr>
          <w:p w:rsidR="00610BD6" w:rsidRPr="005113BD" w:rsidRDefault="00610BD6" w:rsidP="00C67FA6">
            <w:pPr>
              <w:jc w:val="center"/>
              <w:rPr>
                <w:rFonts w:cs="Arial"/>
                <w:bCs/>
                <w:szCs w:val="22"/>
              </w:rPr>
            </w:pPr>
            <w:r w:rsidRPr="005113BD">
              <w:rPr>
                <w:rFonts w:cs="Arial"/>
                <w:bCs/>
                <w:szCs w:val="22"/>
              </w:rPr>
              <w:t>Obračunski stroški na enoto mere (€)</w:t>
            </w:r>
          </w:p>
        </w:tc>
      </w:tr>
      <w:tr w:rsidR="00610BD6" w:rsidRPr="005113BD" w:rsidTr="00C67FA6">
        <w:trPr>
          <w:trHeight w:val="57"/>
        </w:trPr>
        <w:tc>
          <w:tcPr>
            <w:tcW w:w="3700" w:type="dxa"/>
            <w:vMerge/>
            <w:shd w:val="clear" w:color="auto" w:fill="FFFFFF"/>
            <w:noWrap/>
            <w:vAlign w:val="bottom"/>
            <w:hideMark/>
          </w:tcPr>
          <w:p w:rsidR="00610BD6" w:rsidRPr="005113BD" w:rsidRDefault="00610BD6" w:rsidP="00C67FA6">
            <w:pPr>
              <w:rPr>
                <w:rFonts w:cs="Arial"/>
                <w:szCs w:val="22"/>
              </w:rPr>
            </w:pPr>
          </w:p>
        </w:tc>
        <w:tc>
          <w:tcPr>
            <w:tcW w:w="1626" w:type="dxa"/>
            <w:shd w:val="clear" w:color="auto" w:fill="FFFFFF"/>
            <w:noWrap/>
            <w:vAlign w:val="bottom"/>
            <w:hideMark/>
          </w:tcPr>
          <w:p w:rsidR="00610BD6" w:rsidRPr="005113BD" w:rsidRDefault="00610BD6" w:rsidP="00C67FA6">
            <w:pPr>
              <w:jc w:val="center"/>
              <w:rPr>
                <w:rFonts w:cs="Arial"/>
                <w:bCs/>
                <w:szCs w:val="22"/>
              </w:rPr>
            </w:pPr>
            <w:r w:rsidRPr="005113BD">
              <w:rPr>
                <w:rFonts w:cs="Arial"/>
                <w:bCs/>
                <w:szCs w:val="22"/>
              </w:rPr>
              <w:t xml:space="preserve">parcele </w:t>
            </w:r>
            <w:proofErr w:type="spellStart"/>
            <w:r w:rsidRPr="005113BD">
              <w:rPr>
                <w:rFonts w:cs="Arial"/>
                <w:bCs/>
                <w:szCs w:val="22"/>
              </w:rPr>
              <w:t>Cp</w:t>
            </w:r>
            <w:proofErr w:type="spellEnd"/>
            <w:r w:rsidRPr="005113BD">
              <w:rPr>
                <w:rFonts w:cs="Arial"/>
                <w:bCs/>
                <w:szCs w:val="22"/>
              </w:rPr>
              <w:t>(</w:t>
            </w:r>
            <w:proofErr w:type="spellStart"/>
            <w:r w:rsidRPr="005113BD">
              <w:rPr>
                <w:rFonts w:cs="Arial"/>
                <w:bCs/>
                <w:szCs w:val="22"/>
              </w:rPr>
              <w:t>ij</w:t>
            </w:r>
            <w:proofErr w:type="spellEnd"/>
            <w:r w:rsidRPr="005113BD">
              <w:rPr>
                <w:rFonts w:cs="Arial"/>
                <w:bCs/>
                <w:szCs w:val="22"/>
              </w:rPr>
              <w:t>)</w:t>
            </w:r>
          </w:p>
        </w:tc>
        <w:tc>
          <w:tcPr>
            <w:tcW w:w="1374" w:type="dxa"/>
            <w:shd w:val="clear" w:color="auto" w:fill="FFFFFF"/>
            <w:noWrap/>
            <w:vAlign w:val="bottom"/>
            <w:hideMark/>
          </w:tcPr>
          <w:p w:rsidR="00610BD6" w:rsidRPr="005113BD" w:rsidRDefault="00610BD6" w:rsidP="00C67FA6">
            <w:pPr>
              <w:jc w:val="center"/>
              <w:rPr>
                <w:rFonts w:cs="Arial"/>
                <w:bCs/>
                <w:szCs w:val="22"/>
              </w:rPr>
            </w:pPr>
            <w:r w:rsidRPr="005113BD">
              <w:rPr>
                <w:rFonts w:cs="Arial"/>
                <w:bCs/>
                <w:szCs w:val="22"/>
              </w:rPr>
              <w:t xml:space="preserve">NTPO </w:t>
            </w:r>
            <w:proofErr w:type="spellStart"/>
            <w:r w:rsidRPr="005113BD">
              <w:rPr>
                <w:rFonts w:cs="Arial"/>
                <w:bCs/>
                <w:szCs w:val="22"/>
              </w:rPr>
              <w:t>Ct</w:t>
            </w:r>
            <w:proofErr w:type="spellEnd"/>
            <w:r w:rsidRPr="005113BD">
              <w:rPr>
                <w:rFonts w:cs="Arial"/>
                <w:bCs/>
                <w:szCs w:val="22"/>
              </w:rPr>
              <w:t>(</w:t>
            </w:r>
            <w:proofErr w:type="spellStart"/>
            <w:r w:rsidRPr="005113BD">
              <w:rPr>
                <w:rFonts w:cs="Arial"/>
                <w:bCs/>
                <w:szCs w:val="22"/>
              </w:rPr>
              <w:t>ij</w:t>
            </w:r>
            <w:proofErr w:type="spellEnd"/>
            <w:r w:rsidRPr="005113BD">
              <w:rPr>
                <w:rFonts w:cs="Arial"/>
                <w:bCs/>
                <w:szCs w:val="22"/>
              </w:rPr>
              <w:t>)</w:t>
            </w:r>
          </w:p>
        </w:tc>
      </w:tr>
      <w:tr w:rsidR="00610BD6" w:rsidRPr="005113BD" w:rsidTr="00C67FA6">
        <w:trPr>
          <w:trHeight w:val="397"/>
        </w:trPr>
        <w:tc>
          <w:tcPr>
            <w:tcW w:w="3700" w:type="dxa"/>
            <w:shd w:val="clear" w:color="auto" w:fill="FFFFFF"/>
            <w:noWrap/>
            <w:vAlign w:val="bottom"/>
            <w:hideMark/>
          </w:tcPr>
          <w:p w:rsidR="00610BD6" w:rsidRPr="005113BD" w:rsidRDefault="00610BD6" w:rsidP="00C67FA6">
            <w:pPr>
              <w:rPr>
                <w:rFonts w:cs="Arial"/>
                <w:szCs w:val="22"/>
              </w:rPr>
            </w:pPr>
            <w:r w:rsidRPr="005113BD">
              <w:rPr>
                <w:rFonts w:cs="Arial"/>
                <w:szCs w:val="22"/>
              </w:rPr>
              <w:t>Lokalne ceste in javne poti</w:t>
            </w:r>
          </w:p>
        </w:tc>
        <w:tc>
          <w:tcPr>
            <w:tcW w:w="1626" w:type="dxa"/>
            <w:shd w:val="clear" w:color="auto" w:fill="FFFFFF"/>
            <w:noWrap/>
            <w:vAlign w:val="bottom"/>
            <w:hideMark/>
          </w:tcPr>
          <w:p w:rsidR="00610BD6" w:rsidRPr="005113BD" w:rsidRDefault="00610BD6" w:rsidP="00C67FA6">
            <w:pPr>
              <w:jc w:val="right"/>
              <w:rPr>
                <w:rFonts w:cs="Arial"/>
                <w:bCs/>
                <w:szCs w:val="22"/>
              </w:rPr>
            </w:pPr>
            <w:r w:rsidRPr="005113BD">
              <w:rPr>
                <w:rFonts w:cs="Arial"/>
                <w:bCs/>
                <w:szCs w:val="22"/>
              </w:rPr>
              <w:t>0,00</w:t>
            </w:r>
          </w:p>
        </w:tc>
        <w:tc>
          <w:tcPr>
            <w:tcW w:w="1374" w:type="dxa"/>
            <w:shd w:val="clear" w:color="auto" w:fill="FFFFFF"/>
            <w:noWrap/>
            <w:vAlign w:val="bottom"/>
            <w:hideMark/>
          </w:tcPr>
          <w:p w:rsidR="00610BD6" w:rsidRPr="005113BD" w:rsidRDefault="00610BD6" w:rsidP="00C67FA6">
            <w:pPr>
              <w:jc w:val="right"/>
              <w:rPr>
                <w:rFonts w:cs="Arial"/>
                <w:bCs/>
                <w:szCs w:val="22"/>
              </w:rPr>
            </w:pPr>
            <w:r w:rsidRPr="005113BD">
              <w:rPr>
                <w:rFonts w:cs="Arial"/>
                <w:bCs/>
                <w:szCs w:val="22"/>
              </w:rPr>
              <w:t>0,00</w:t>
            </w:r>
          </w:p>
        </w:tc>
      </w:tr>
      <w:tr w:rsidR="00610BD6" w:rsidRPr="005113BD" w:rsidTr="00C67FA6">
        <w:trPr>
          <w:trHeight w:val="397"/>
        </w:trPr>
        <w:tc>
          <w:tcPr>
            <w:tcW w:w="3700" w:type="dxa"/>
            <w:shd w:val="clear" w:color="auto" w:fill="FFFFFF"/>
            <w:noWrap/>
            <w:vAlign w:val="bottom"/>
            <w:hideMark/>
          </w:tcPr>
          <w:p w:rsidR="00610BD6" w:rsidRPr="005113BD" w:rsidRDefault="00610BD6" w:rsidP="00C67FA6">
            <w:pPr>
              <w:rPr>
                <w:rFonts w:cs="Arial"/>
                <w:szCs w:val="22"/>
              </w:rPr>
            </w:pPr>
            <w:r w:rsidRPr="005113BD">
              <w:rPr>
                <w:rFonts w:cs="Arial"/>
                <w:szCs w:val="22"/>
              </w:rPr>
              <w:t>Lokalne zbirne in lokalne krajevne ceste</w:t>
            </w:r>
          </w:p>
        </w:tc>
        <w:tc>
          <w:tcPr>
            <w:tcW w:w="1626" w:type="dxa"/>
            <w:shd w:val="clear" w:color="auto" w:fill="FFFFFF"/>
            <w:noWrap/>
            <w:vAlign w:val="bottom"/>
            <w:hideMark/>
          </w:tcPr>
          <w:p w:rsidR="00610BD6" w:rsidRPr="005113BD" w:rsidRDefault="00610BD6" w:rsidP="00C67FA6">
            <w:pPr>
              <w:jc w:val="right"/>
              <w:rPr>
                <w:rFonts w:cs="Arial"/>
                <w:bCs/>
                <w:szCs w:val="22"/>
              </w:rPr>
            </w:pPr>
            <w:r w:rsidRPr="005113BD">
              <w:rPr>
                <w:rFonts w:cs="Arial"/>
                <w:bCs/>
                <w:szCs w:val="22"/>
              </w:rPr>
              <w:t>0,00</w:t>
            </w:r>
          </w:p>
        </w:tc>
        <w:tc>
          <w:tcPr>
            <w:tcW w:w="1374" w:type="dxa"/>
            <w:shd w:val="clear" w:color="auto" w:fill="FFFFFF"/>
            <w:noWrap/>
            <w:vAlign w:val="bottom"/>
            <w:hideMark/>
          </w:tcPr>
          <w:p w:rsidR="00610BD6" w:rsidRPr="005113BD" w:rsidRDefault="00610BD6" w:rsidP="00C67FA6">
            <w:pPr>
              <w:jc w:val="right"/>
              <w:rPr>
                <w:rFonts w:cs="Arial"/>
                <w:bCs/>
                <w:szCs w:val="22"/>
              </w:rPr>
            </w:pPr>
            <w:r w:rsidRPr="005113BD">
              <w:rPr>
                <w:rFonts w:cs="Arial"/>
                <w:bCs/>
                <w:szCs w:val="22"/>
              </w:rPr>
              <w:t>0,00</w:t>
            </w:r>
          </w:p>
        </w:tc>
      </w:tr>
      <w:tr w:rsidR="00610BD6" w:rsidRPr="005113BD" w:rsidTr="00C67FA6">
        <w:trPr>
          <w:trHeight w:val="397"/>
        </w:trPr>
        <w:tc>
          <w:tcPr>
            <w:tcW w:w="3700" w:type="dxa"/>
            <w:shd w:val="clear" w:color="auto" w:fill="FFFFFF"/>
            <w:noWrap/>
            <w:vAlign w:val="bottom"/>
            <w:hideMark/>
          </w:tcPr>
          <w:p w:rsidR="00610BD6" w:rsidRPr="005113BD" w:rsidRDefault="00610BD6" w:rsidP="00C67FA6">
            <w:pPr>
              <w:rPr>
                <w:rFonts w:cs="Arial"/>
                <w:szCs w:val="22"/>
              </w:rPr>
            </w:pPr>
            <w:r w:rsidRPr="005113BD">
              <w:rPr>
                <w:rFonts w:cs="Arial"/>
                <w:szCs w:val="22"/>
              </w:rPr>
              <w:t>Vodovod </w:t>
            </w:r>
          </w:p>
        </w:tc>
        <w:tc>
          <w:tcPr>
            <w:tcW w:w="1626"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2,53     </w:t>
            </w:r>
          </w:p>
        </w:tc>
        <w:tc>
          <w:tcPr>
            <w:tcW w:w="1374"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7,21     </w:t>
            </w:r>
          </w:p>
        </w:tc>
      </w:tr>
      <w:tr w:rsidR="00610BD6" w:rsidRPr="005113BD" w:rsidTr="00C67FA6">
        <w:trPr>
          <w:trHeight w:val="397"/>
        </w:trPr>
        <w:tc>
          <w:tcPr>
            <w:tcW w:w="3700" w:type="dxa"/>
            <w:shd w:val="clear" w:color="auto" w:fill="FFFFFF"/>
            <w:noWrap/>
            <w:vAlign w:val="bottom"/>
            <w:hideMark/>
          </w:tcPr>
          <w:p w:rsidR="00610BD6" w:rsidRPr="005113BD" w:rsidRDefault="00610BD6" w:rsidP="00C67FA6">
            <w:pPr>
              <w:rPr>
                <w:rFonts w:cs="Arial"/>
                <w:szCs w:val="22"/>
              </w:rPr>
            </w:pPr>
            <w:r w:rsidRPr="005113BD">
              <w:rPr>
                <w:rFonts w:cs="Arial"/>
                <w:szCs w:val="22"/>
              </w:rPr>
              <w:t>Kanalizacija </w:t>
            </w:r>
          </w:p>
        </w:tc>
        <w:tc>
          <w:tcPr>
            <w:tcW w:w="1626"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2,10     </w:t>
            </w:r>
          </w:p>
        </w:tc>
        <w:tc>
          <w:tcPr>
            <w:tcW w:w="1374"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6,00     </w:t>
            </w:r>
          </w:p>
        </w:tc>
      </w:tr>
      <w:tr w:rsidR="00610BD6" w:rsidRPr="005113BD" w:rsidTr="00C67FA6">
        <w:trPr>
          <w:trHeight w:val="397"/>
        </w:trPr>
        <w:tc>
          <w:tcPr>
            <w:tcW w:w="3700" w:type="dxa"/>
            <w:shd w:val="clear" w:color="auto" w:fill="FFFFFF"/>
            <w:noWrap/>
            <w:vAlign w:val="bottom"/>
            <w:hideMark/>
          </w:tcPr>
          <w:p w:rsidR="00610BD6" w:rsidRPr="005113BD" w:rsidRDefault="00610BD6" w:rsidP="00C67FA6">
            <w:pPr>
              <w:rPr>
                <w:rFonts w:cs="Arial"/>
                <w:szCs w:val="22"/>
              </w:rPr>
            </w:pPr>
            <w:r w:rsidRPr="005113BD">
              <w:rPr>
                <w:rFonts w:cs="Arial"/>
                <w:szCs w:val="22"/>
              </w:rPr>
              <w:t xml:space="preserve">Skupaj </w:t>
            </w:r>
          </w:p>
        </w:tc>
        <w:tc>
          <w:tcPr>
            <w:tcW w:w="1626" w:type="dxa"/>
            <w:shd w:val="clear" w:color="auto" w:fill="FFFFFF"/>
            <w:noWrap/>
            <w:vAlign w:val="bottom"/>
            <w:hideMark/>
          </w:tcPr>
          <w:p w:rsidR="00610BD6" w:rsidRPr="005113BD" w:rsidRDefault="00610BD6" w:rsidP="00C67FA6">
            <w:pPr>
              <w:jc w:val="right"/>
              <w:rPr>
                <w:rFonts w:cs="Arial"/>
                <w:bCs/>
                <w:szCs w:val="22"/>
              </w:rPr>
            </w:pPr>
            <w:r w:rsidRPr="005113BD">
              <w:rPr>
                <w:rFonts w:cs="Arial"/>
                <w:bCs/>
                <w:szCs w:val="22"/>
              </w:rPr>
              <w:t xml:space="preserve">                   4,63     </w:t>
            </w:r>
          </w:p>
        </w:tc>
        <w:tc>
          <w:tcPr>
            <w:tcW w:w="1374" w:type="dxa"/>
            <w:shd w:val="clear" w:color="auto" w:fill="FFFFFF"/>
            <w:noWrap/>
            <w:vAlign w:val="bottom"/>
            <w:hideMark/>
          </w:tcPr>
          <w:p w:rsidR="00610BD6" w:rsidRPr="005113BD" w:rsidRDefault="00610BD6" w:rsidP="00C67FA6">
            <w:pPr>
              <w:jc w:val="right"/>
              <w:rPr>
                <w:rFonts w:cs="Arial"/>
                <w:bCs/>
                <w:szCs w:val="22"/>
              </w:rPr>
            </w:pPr>
            <w:r w:rsidRPr="005113BD">
              <w:rPr>
                <w:rFonts w:cs="Arial"/>
                <w:bCs/>
                <w:szCs w:val="22"/>
              </w:rPr>
              <w:t xml:space="preserve">                  13,21     </w:t>
            </w:r>
          </w:p>
        </w:tc>
      </w:tr>
    </w:tbl>
    <w:p w:rsidR="00610BD6" w:rsidRPr="005113BD" w:rsidRDefault="00610BD6" w:rsidP="00610BD6">
      <w:pPr>
        <w:autoSpaceDE w:val="0"/>
        <w:autoSpaceDN w:val="0"/>
        <w:adjustRightInd w:val="0"/>
        <w:jc w:val="both"/>
        <w:rPr>
          <w:rFonts w:cs="Arial"/>
          <w:szCs w:val="22"/>
        </w:rPr>
      </w:pPr>
    </w:p>
    <w:p w:rsidR="00610BD6" w:rsidRPr="005113BD" w:rsidRDefault="00610BD6" w:rsidP="00610BD6">
      <w:pPr>
        <w:autoSpaceDE w:val="0"/>
        <w:autoSpaceDN w:val="0"/>
        <w:adjustRightInd w:val="0"/>
        <w:jc w:val="both"/>
        <w:rPr>
          <w:rFonts w:cs="Arial"/>
          <w:szCs w:val="22"/>
        </w:rPr>
      </w:pPr>
    </w:p>
    <w:p w:rsidR="00610BD6" w:rsidRPr="005113BD" w:rsidRDefault="00610BD6" w:rsidP="00610BD6">
      <w:pPr>
        <w:jc w:val="both"/>
        <w:rPr>
          <w:rFonts w:cs="Arial"/>
          <w:szCs w:val="22"/>
          <w:u w:val="single"/>
        </w:rPr>
      </w:pPr>
      <w:r w:rsidRPr="005113BD">
        <w:rPr>
          <w:rFonts w:cs="Arial"/>
          <w:szCs w:val="22"/>
          <w:u w:val="single"/>
        </w:rPr>
        <w:t>Obstoječa komunalna oprema</w:t>
      </w:r>
    </w:p>
    <w:p w:rsidR="00610BD6" w:rsidRPr="005113BD" w:rsidRDefault="00610BD6" w:rsidP="00610BD6">
      <w:pPr>
        <w:pStyle w:val="Odstavek"/>
        <w:tabs>
          <w:tab w:val="left" w:pos="425"/>
        </w:tabs>
        <w:spacing w:before="0" w:after="0"/>
        <w:ind w:left="57" w:firstLine="0"/>
        <w:rPr>
          <w:rFonts w:cs="Arial"/>
          <w:szCs w:val="22"/>
        </w:rPr>
      </w:pPr>
    </w:p>
    <w:p w:rsidR="00610BD6" w:rsidRPr="005113BD" w:rsidRDefault="00610BD6" w:rsidP="00610BD6">
      <w:pPr>
        <w:pStyle w:val="Odstavek"/>
        <w:tabs>
          <w:tab w:val="left" w:pos="425"/>
        </w:tabs>
        <w:spacing w:before="0" w:after="0"/>
        <w:ind w:left="0" w:firstLine="0"/>
        <w:rPr>
          <w:rFonts w:cs="Arial"/>
          <w:szCs w:val="22"/>
        </w:rPr>
      </w:pPr>
      <w:r w:rsidRPr="005113BD">
        <w:rPr>
          <w:rFonts w:cs="Arial"/>
          <w:szCs w:val="22"/>
          <w:lang w:val="sl-SI"/>
        </w:rPr>
        <w:t xml:space="preserve">(2) </w:t>
      </w:r>
      <w:r w:rsidRPr="005113BD">
        <w:rPr>
          <w:rFonts w:cs="Arial"/>
          <w:szCs w:val="22"/>
        </w:rPr>
        <w:t>Komunalnemu prispevku, določenemu s predmetnim odlokom, se prišteje komunalni prispevek za obstoječo, že zgrajeno komunalno opremo.</w:t>
      </w:r>
    </w:p>
    <w:p w:rsidR="00610BD6" w:rsidRPr="005113BD" w:rsidRDefault="00610BD6" w:rsidP="00610BD6">
      <w:pPr>
        <w:pStyle w:val="Odstavek"/>
        <w:tabs>
          <w:tab w:val="left" w:pos="425"/>
        </w:tabs>
        <w:spacing w:before="0" w:after="0"/>
        <w:rPr>
          <w:rFonts w:cs="Arial"/>
          <w:szCs w:val="22"/>
          <w:lang w:val="sl-SI"/>
        </w:rPr>
      </w:pPr>
    </w:p>
    <w:p w:rsidR="00610BD6" w:rsidRPr="005113BD" w:rsidRDefault="00610BD6" w:rsidP="00610BD6">
      <w:pPr>
        <w:pStyle w:val="Odstavek"/>
        <w:tabs>
          <w:tab w:val="left" w:pos="425"/>
        </w:tabs>
        <w:spacing w:before="0" w:after="0"/>
        <w:rPr>
          <w:rFonts w:cs="Arial"/>
          <w:szCs w:val="22"/>
        </w:rPr>
      </w:pPr>
      <w:r w:rsidRPr="005113BD">
        <w:rPr>
          <w:rFonts w:cs="Arial"/>
          <w:szCs w:val="22"/>
          <w:lang w:val="sl-SI"/>
        </w:rPr>
        <w:t xml:space="preserve">(3) </w:t>
      </w:r>
      <w:r w:rsidRPr="005113BD">
        <w:rPr>
          <w:rFonts w:cs="Arial"/>
          <w:szCs w:val="22"/>
        </w:rPr>
        <w:t>Tako se zavezancu dodatno obračuna del stroškov za komunalno opremo:</w:t>
      </w:r>
    </w:p>
    <w:p w:rsidR="00610BD6" w:rsidRPr="005113BD" w:rsidRDefault="00610BD6" w:rsidP="00610BD6">
      <w:pPr>
        <w:pStyle w:val="Odstavek"/>
        <w:numPr>
          <w:ilvl w:val="0"/>
          <w:numId w:val="16"/>
        </w:numPr>
        <w:tabs>
          <w:tab w:val="left" w:pos="425"/>
        </w:tabs>
        <w:spacing w:before="0" w:after="0"/>
        <w:rPr>
          <w:rFonts w:cs="Arial"/>
          <w:szCs w:val="22"/>
        </w:rPr>
      </w:pPr>
      <w:r w:rsidRPr="005113BD">
        <w:rPr>
          <w:rFonts w:cs="Arial"/>
          <w:szCs w:val="22"/>
        </w:rPr>
        <w:t>obstoječe prometno omrežje</w:t>
      </w:r>
      <w:r w:rsidRPr="005113BD">
        <w:rPr>
          <w:rFonts w:cs="Arial"/>
          <w:szCs w:val="22"/>
          <w:lang w:val="sl-SI"/>
        </w:rPr>
        <w:t xml:space="preserve"> </w:t>
      </w:r>
    </w:p>
    <w:p w:rsidR="00610BD6" w:rsidRPr="005113BD" w:rsidRDefault="00610BD6" w:rsidP="00610BD6">
      <w:pPr>
        <w:pStyle w:val="Odstavek"/>
        <w:numPr>
          <w:ilvl w:val="1"/>
          <w:numId w:val="16"/>
        </w:numPr>
        <w:tabs>
          <w:tab w:val="clear" w:pos="1440"/>
          <w:tab w:val="left" w:pos="425"/>
          <w:tab w:val="num" w:pos="851"/>
        </w:tabs>
        <w:spacing w:before="0" w:after="0"/>
        <w:ind w:hanging="1014"/>
        <w:rPr>
          <w:rFonts w:cs="Arial"/>
          <w:szCs w:val="22"/>
        </w:rPr>
      </w:pPr>
      <w:r w:rsidRPr="005113BD">
        <w:rPr>
          <w:rFonts w:cs="Arial"/>
          <w:szCs w:val="22"/>
        </w:rPr>
        <w:t>lokalne ceste in javne poti</w:t>
      </w:r>
    </w:p>
    <w:p w:rsidR="00610BD6" w:rsidRPr="005113BD" w:rsidRDefault="00610BD6" w:rsidP="00610BD6">
      <w:pPr>
        <w:pStyle w:val="Odstavek"/>
        <w:numPr>
          <w:ilvl w:val="1"/>
          <w:numId w:val="16"/>
        </w:numPr>
        <w:tabs>
          <w:tab w:val="clear" w:pos="1440"/>
          <w:tab w:val="left" w:pos="425"/>
          <w:tab w:val="num" w:pos="851"/>
        </w:tabs>
        <w:spacing w:before="0" w:after="0"/>
        <w:ind w:hanging="1014"/>
        <w:rPr>
          <w:rFonts w:cs="Arial"/>
          <w:szCs w:val="22"/>
        </w:rPr>
      </w:pPr>
      <w:r w:rsidRPr="005113BD">
        <w:rPr>
          <w:rFonts w:cs="Arial"/>
          <w:szCs w:val="22"/>
          <w:lang w:val="sl-SI"/>
        </w:rPr>
        <w:t>lokalne zbirne in lokalne krajevne ceste</w:t>
      </w:r>
    </w:p>
    <w:p w:rsidR="00610BD6" w:rsidRPr="005113BD" w:rsidRDefault="00610BD6" w:rsidP="00610BD6">
      <w:pPr>
        <w:pStyle w:val="Odstavek"/>
        <w:numPr>
          <w:ilvl w:val="0"/>
          <w:numId w:val="16"/>
        </w:numPr>
        <w:tabs>
          <w:tab w:val="left" w:pos="425"/>
        </w:tabs>
        <w:spacing w:before="0" w:after="0"/>
        <w:rPr>
          <w:rFonts w:cs="Arial"/>
          <w:szCs w:val="22"/>
        </w:rPr>
      </w:pPr>
      <w:r w:rsidRPr="005113BD">
        <w:rPr>
          <w:rFonts w:cs="Arial"/>
          <w:szCs w:val="22"/>
        </w:rPr>
        <w:t>obstoječe kanalizacijsko omrežje</w:t>
      </w:r>
    </w:p>
    <w:p w:rsidR="00610BD6" w:rsidRPr="005113BD" w:rsidRDefault="00610BD6" w:rsidP="00610BD6">
      <w:pPr>
        <w:pStyle w:val="Odstavek"/>
        <w:numPr>
          <w:ilvl w:val="0"/>
          <w:numId w:val="16"/>
        </w:numPr>
        <w:tabs>
          <w:tab w:val="left" w:pos="425"/>
        </w:tabs>
        <w:spacing w:before="0" w:after="0"/>
        <w:rPr>
          <w:rFonts w:cs="Arial"/>
          <w:szCs w:val="22"/>
        </w:rPr>
      </w:pPr>
      <w:r w:rsidRPr="005113BD">
        <w:rPr>
          <w:rFonts w:cs="Arial"/>
          <w:szCs w:val="22"/>
        </w:rPr>
        <w:t>obstoječe vodovodno omrežje</w:t>
      </w:r>
    </w:p>
    <w:p w:rsidR="00610BD6" w:rsidRPr="005113BD" w:rsidRDefault="00610BD6" w:rsidP="00610BD6">
      <w:pPr>
        <w:pStyle w:val="Odstavek"/>
        <w:tabs>
          <w:tab w:val="left" w:pos="425"/>
        </w:tabs>
        <w:spacing w:before="0" w:after="0"/>
        <w:ind w:left="0" w:firstLine="0"/>
        <w:rPr>
          <w:rFonts w:cs="Arial"/>
          <w:szCs w:val="22"/>
          <w:lang w:val="sl-SI"/>
        </w:rPr>
      </w:pPr>
    </w:p>
    <w:p w:rsidR="00610BD6" w:rsidRPr="005113BD" w:rsidRDefault="00610BD6" w:rsidP="00610BD6">
      <w:pPr>
        <w:jc w:val="both"/>
        <w:rPr>
          <w:rFonts w:cs="Arial"/>
          <w:szCs w:val="22"/>
          <w:lang w:val="x-none"/>
        </w:rPr>
      </w:pPr>
      <w:r w:rsidRPr="005113BD">
        <w:rPr>
          <w:rFonts w:cs="Arial"/>
          <w:szCs w:val="22"/>
        </w:rPr>
        <w:t xml:space="preserve">(4) </w:t>
      </w:r>
      <w:r w:rsidRPr="005113BD">
        <w:rPr>
          <w:rFonts w:cs="Arial"/>
          <w:szCs w:val="22"/>
          <w:lang w:val="x-none"/>
        </w:rPr>
        <w:t xml:space="preserve">Obračunski stroški za obstoječo komunalno opremo se zmanjšajo za vrednost </w:t>
      </w:r>
      <w:r w:rsidRPr="005113BD">
        <w:rPr>
          <w:rFonts w:cs="Arial"/>
          <w:szCs w:val="22"/>
        </w:rPr>
        <w:t>o</w:t>
      </w:r>
      <w:proofErr w:type="spellStart"/>
      <w:r w:rsidRPr="005113BD">
        <w:rPr>
          <w:rFonts w:cs="Arial"/>
          <w:szCs w:val="22"/>
          <w:lang w:val="x-none"/>
        </w:rPr>
        <w:t>bračunskih</w:t>
      </w:r>
      <w:proofErr w:type="spellEnd"/>
      <w:r w:rsidRPr="005113BD">
        <w:rPr>
          <w:rFonts w:cs="Arial"/>
          <w:szCs w:val="22"/>
          <w:lang w:val="x-none"/>
        </w:rPr>
        <w:t xml:space="preserve"> stroškov predvidene komunalne opreme. Če je razlika med obračunskimi stroški za obstoječo komunalno opremo in obračunskimi stroški za predvideno komunalno opremo negativna ali enaka 0, se komunalnega prispevka za obstoječo komunalno opremo ne plača.</w:t>
      </w:r>
    </w:p>
    <w:p w:rsidR="00610BD6" w:rsidRPr="005113BD" w:rsidRDefault="00610BD6" w:rsidP="00610BD6">
      <w:pPr>
        <w:jc w:val="both"/>
        <w:rPr>
          <w:rFonts w:cs="Arial"/>
          <w:szCs w:val="22"/>
        </w:rPr>
      </w:pPr>
    </w:p>
    <w:p w:rsidR="00610BD6" w:rsidRDefault="00610BD6" w:rsidP="00610BD6">
      <w:pPr>
        <w:jc w:val="both"/>
        <w:rPr>
          <w:rFonts w:cs="Arial"/>
          <w:szCs w:val="22"/>
        </w:rPr>
      </w:pPr>
      <w:r w:rsidRPr="005113BD">
        <w:rPr>
          <w:rFonts w:cs="Arial"/>
          <w:szCs w:val="22"/>
          <w:lang w:val="x-none"/>
        </w:rPr>
        <w:t>Obračunski stroški za obstoječo komunalno opremo</w:t>
      </w:r>
      <w:r w:rsidRPr="005113BD">
        <w:rPr>
          <w:rFonts w:cs="Arial"/>
          <w:szCs w:val="22"/>
        </w:rPr>
        <w:t xml:space="preserve"> na enoto mere v območju OPPN</w:t>
      </w:r>
      <w:r w:rsidRPr="005113BD">
        <w:rPr>
          <w:rFonts w:cs="Arial"/>
          <w:szCs w:val="22"/>
          <w:lang w:val="x-none"/>
        </w:rPr>
        <w:t>, znašajo:</w:t>
      </w:r>
    </w:p>
    <w:p w:rsidR="00610BD6" w:rsidRPr="005113BD" w:rsidRDefault="00610BD6" w:rsidP="00610BD6">
      <w:pPr>
        <w:jc w:val="both"/>
        <w:rPr>
          <w:rFonts w:cs="Arial"/>
          <w:szCs w:val="22"/>
        </w:rPr>
      </w:pPr>
    </w:p>
    <w:tbl>
      <w:tblPr>
        <w:tblW w:w="67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3700"/>
        <w:gridCol w:w="1626"/>
        <w:gridCol w:w="1374"/>
      </w:tblGrid>
      <w:tr w:rsidR="00610BD6" w:rsidRPr="005113BD" w:rsidTr="00C67FA6">
        <w:trPr>
          <w:trHeight w:val="57"/>
        </w:trPr>
        <w:tc>
          <w:tcPr>
            <w:tcW w:w="3700" w:type="dxa"/>
            <w:vMerge w:val="restart"/>
            <w:shd w:val="clear" w:color="auto" w:fill="FFFFFF"/>
            <w:noWrap/>
            <w:vAlign w:val="bottom"/>
            <w:hideMark/>
          </w:tcPr>
          <w:p w:rsidR="00610BD6" w:rsidRPr="005113BD" w:rsidRDefault="00610BD6" w:rsidP="00C67FA6">
            <w:pPr>
              <w:rPr>
                <w:rFonts w:cs="Arial"/>
                <w:bCs/>
                <w:szCs w:val="22"/>
              </w:rPr>
            </w:pPr>
          </w:p>
          <w:p w:rsidR="00610BD6" w:rsidRPr="005113BD" w:rsidRDefault="00610BD6" w:rsidP="00C67FA6">
            <w:pPr>
              <w:rPr>
                <w:rFonts w:cs="Arial"/>
                <w:szCs w:val="22"/>
              </w:rPr>
            </w:pPr>
            <w:r w:rsidRPr="005113BD">
              <w:rPr>
                <w:rFonts w:cs="Arial"/>
                <w:bCs/>
                <w:szCs w:val="22"/>
              </w:rPr>
              <w:t>Obstoječa komunalna oprema</w:t>
            </w:r>
          </w:p>
          <w:p w:rsidR="00610BD6" w:rsidRPr="005113BD" w:rsidRDefault="00610BD6" w:rsidP="00C67FA6">
            <w:pPr>
              <w:rPr>
                <w:rFonts w:cs="Arial"/>
                <w:bCs/>
                <w:szCs w:val="22"/>
              </w:rPr>
            </w:pPr>
            <w:r w:rsidRPr="005113BD">
              <w:rPr>
                <w:rFonts w:cs="Arial"/>
                <w:szCs w:val="22"/>
              </w:rPr>
              <w:t> </w:t>
            </w:r>
          </w:p>
        </w:tc>
        <w:tc>
          <w:tcPr>
            <w:tcW w:w="3000" w:type="dxa"/>
            <w:gridSpan w:val="2"/>
            <w:shd w:val="clear" w:color="auto" w:fill="FFFFFF"/>
            <w:noWrap/>
            <w:vAlign w:val="bottom"/>
            <w:hideMark/>
          </w:tcPr>
          <w:p w:rsidR="00610BD6" w:rsidRPr="005113BD" w:rsidRDefault="00610BD6" w:rsidP="00C67FA6">
            <w:pPr>
              <w:jc w:val="center"/>
              <w:rPr>
                <w:rFonts w:cs="Arial"/>
                <w:bCs/>
                <w:szCs w:val="22"/>
              </w:rPr>
            </w:pPr>
            <w:r w:rsidRPr="005113BD">
              <w:rPr>
                <w:rFonts w:cs="Arial"/>
                <w:bCs/>
                <w:szCs w:val="22"/>
              </w:rPr>
              <w:t>Obračunski stroški na enoto mere (€)</w:t>
            </w:r>
          </w:p>
        </w:tc>
      </w:tr>
      <w:tr w:rsidR="00610BD6" w:rsidRPr="005113BD" w:rsidTr="00C67FA6">
        <w:trPr>
          <w:trHeight w:val="57"/>
        </w:trPr>
        <w:tc>
          <w:tcPr>
            <w:tcW w:w="3700" w:type="dxa"/>
            <w:vMerge/>
            <w:shd w:val="clear" w:color="auto" w:fill="FFFFFF"/>
            <w:noWrap/>
            <w:vAlign w:val="bottom"/>
            <w:hideMark/>
          </w:tcPr>
          <w:p w:rsidR="00610BD6" w:rsidRPr="005113BD" w:rsidRDefault="00610BD6" w:rsidP="00C67FA6">
            <w:pPr>
              <w:rPr>
                <w:rFonts w:cs="Arial"/>
                <w:szCs w:val="22"/>
              </w:rPr>
            </w:pPr>
          </w:p>
        </w:tc>
        <w:tc>
          <w:tcPr>
            <w:tcW w:w="1626" w:type="dxa"/>
            <w:shd w:val="clear" w:color="auto" w:fill="FFFFFF"/>
            <w:noWrap/>
            <w:vAlign w:val="bottom"/>
            <w:hideMark/>
          </w:tcPr>
          <w:p w:rsidR="00610BD6" w:rsidRPr="005113BD" w:rsidRDefault="00610BD6" w:rsidP="00C67FA6">
            <w:pPr>
              <w:jc w:val="center"/>
              <w:rPr>
                <w:rFonts w:cs="Arial"/>
                <w:bCs/>
                <w:szCs w:val="22"/>
              </w:rPr>
            </w:pPr>
            <w:r w:rsidRPr="005113BD">
              <w:rPr>
                <w:rFonts w:cs="Arial"/>
                <w:bCs/>
                <w:szCs w:val="22"/>
              </w:rPr>
              <w:t xml:space="preserve">parcele </w:t>
            </w:r>
            <w:proofErr w:type="spellStart"/>
            <w:r w:rsidRPr="005113BD">
              <w:rPr>
                <w:rFonts w:cs="Arial"/>
                <w:bCs/>
                <w:szCs w:val="22"/>
              </w:rPr>
              <w:t>Cp</w:t>
            </w:r>
            <w:proofErr w:type="spellEnd"/>
            <w:r w:rsidRPr="005113BD">
              <w:rPr>
                <w:rFonts w:cs="Arial"/>
                <w:bCs/>
                <w:szCs w:val="22"/>
              </w:rPr>
              <w:t>(</w:t>
            </w:r>
            <w:proofErr w:type="spellStart"/>
            <w:r w:rsidRPr="005113BD">
              <w:rPr>
                <w:rFonts w:cs="Arial"/>
                <w:bCs/>
                <w:szCs w:val="22"/>
              </w:rPr>
              <w:t>ij</w:t>
            </w:r>
            <w:proofErr w:type="spellEnd"/>
            <w:r w:rsidRPr="005113BD">
              <w:rPr>
                <w:rFonts w:cs="Arial"/>
                <w:bCs/>
                <w:szCs w:val="22"/>
              </w:rPr>
              <w:t>)</w:t>
            </w:r>
          </w:p>
        </w:tc>
        <w:tc>
          <w:tcPr>
            <w:tcW w:w="1374" w:type="dxa"/>
            <w:shd w:val="clear" w:color="auto" w:fill="FFFFFF"/>
            <w:noWrap/>
            <w:vAlign w:val="bottom"/>
            <w:hideMark/>
          </w:tcPr>
          <w:p w:rsidR="00610BD6" w:rsidRPr="005113BD" w:rsidRDefault="00610BD6" w:rsidP="00C67FA6">
            <w:pPr>
              <w:jc w:val="center"/>
              <w:rPr>
                <w:rFonts w:cs="Arial"/>
                <w:bCs/>
                <w:szCs w:val="22"/>
              </w:rPr>
            </w:pPr>
            <w:r w:rsidRPr="005113BD">
              <w:rPr>
                <w:rFonts w:cs="Arial"/>
                <w:bCs/>
                <w:szCs w:val="22"/>
              </w:rPr>
              <w:t xml:space="preserve">NTPO </w:t>
            </w:r>
            <w:proofErr w:type="spellStart"/>
            <w:r w:rsidRPr="005113BD">
              <w:rPr>
                <w:rFonts w:cs="Arial"/>
                <w:bCs/>
                <w:szCs w:val="22"/>
              </w:rPr>
              <w:t>Ct</w:t>
            </w:r>
            <w:proofErr w:type="spellEnd"/>
            <w:r w:rsidRPr="005113BD">
              <w:rPr>
                <w:rFonts w:cs="Arial"/>
                <w:bCs/>
                <w:szCs w:val="22"/>
              </w:rPr>
              <w:t>(</w:t>
            </w:r>
            <w:proofErr w:type="spellStart"/>
            <w:r w:rsidRPr="005113BD">
              <w:rPr>
                <w:rFonts w:cs="Arial"/>
                <w:bCs/>
                <w:szCs w:val="22"/>
              </w:rPr>
              <w:t>ij</w:t>
            </w:r>
            <w:proofErr w:type="spellEnd"/>
            <w:r w:rsidRPr="005113BD">
              <w:rPr>
                <w:rFonts w:cs="Arial"/>
                <w:bCs/>
                <w:szCs w:val="22"/>
              </w:rPr>
              <w:t>)</w:t>
            </w:r>
          </w:p>
        </w:tc>
      </w:tr>
      <w:tr w:rsidR="00610BD6" w:rsidRPr="005113BD" w:rsidTr="00C67FA6">
        <w:trPr>
          <w:trHeight w:val="397"/>
        </w:trPr>
        <w:tc>
          <w:tcPr>
            <w:tcW w:w="3700" w:type="dxa"/>
            <w:shd w:val="clear" w:color="auto" w:fill="FFFFFF"/>
            <w:noWrap/>
            <w:vAlign w:val="bottom"/>
            <w:hideMark/>
          </w:tcPr>
          <w:p w:rsidR="00610BD6" w:rsidRPr="005113BD" w:rsidRDefault="00610BD6" w:rsidP="00C67FA6">
            <w:pPr>
              <w:rPr>
                <w:rFonts w:cs="Arial"/>
                <w:szCs w:val="22"/>
              </w:rPr>
            </w:pPr>
            <w:r w:rsidRPr="005113BD">
              <w:rPr>
                <w:rFonts w:cs="Arial"/>
                <w:szCs w:val="22"/>
              </w:rPr>
              <w:t>Lokalne ceste in javne poti</w:t>
            </w:r>
          </w:p>
        </w:tc>
        <w:tc>
          <w:tcPr>
            <w:tcW w:w="1626"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6,05     </w:t>
            </w:r>
          </w:p>
        </w:tc>
        <w:tc>
          <w:tcPr>
            <w:tcW w:w="1374"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17,26     </w:t>
            </w:r>
          </w:p>
        </w:tc>
      </w:tr>
      <w:tr w:rsidR="00610BD6" w:rsidRPr="005113BD" w:rsidTr="00C67FA6">
        <w:trPr>
          <w:trHeight w:val="397"/>
        </w:trPr>
        <w:tc>
          <w:tcPr>
            <w:tcW w:w="3700" w:type="dxa"/>
            <w:shd w:val="clear" w:color="auto" w:fill="FFFFFF"/>
            <w:noWrap/>
            <w:vAlign w:val="bottom"/>
            <w:hideMark/>
          </w:tcPr>
          <w:p w:rsidR="00610BD6" w:rsidRPr="005113BD" w:rsidRDefault="00610BD6" w:rsidP="00C67FA6">
            <w:pPr>
              <w:rPr>
                <w:rFonts w:cs="Arial"/>
                <w:szCs w:val="22"/>
              </w:rPr>
            </w:pPr>
            <w:r w:rsidRPr="005113BD">
              <w:rPr>
                <w:rFonts w:cs="Arial"/>
                <w:szCs w:val="22"/>
              </w:rPr>
              <w:t>Lokalne zbirne in lokalne krajevne ceste</w:t>
            </w:r>
          </w:p>
        </w:tc>
        <w:tc>
          <w:tcPr>
            <w:tcW w:w="1626"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4,68     </w:t>
            </w:r>
          </w:p>
        </w:tc>
        <w:tc>
          <w:tcPr>
            <w:tcW w:w="1374"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13,36     </w:t>
            </w:r>
          </w:p>
        </w:tc>
      </w:tr>
      <w:tr w:rsidR="00610BD6" w:rsidRPr="005113BD" w:rsidTr="00C67FA6">
        <w:trPr>
          <w:trHeight w:val="397"/>
        </w:trPr>
        <w:tc>
          <w:tcPr>
            <w:tcW w:w="3700" w:type="dxa"/>
            <w:shd w:val="clear" w:color="auto" w:fill="FFFFFF"/>
            <w:noWrap/>
            <w:vAlign w:val="bottom"/>
            <w:hideMark/>
          </w:tcPr>
          <w:p w:rsidR="00610BD6" w:rsidRPr="005113BD" w:rsidRDefault="00610BD6" w:rsidP="00C67FA6">
            <w:pPr>
              <w:rPr>
                <w:rFonts w:cs="Arial"/>
                <w:szCs w:val="22"/>
              </w:rPr>
            </w:pPr>
            <w:r w:rsidRPr="005113BD">
              <w:rPr>
                <w:rFonts w:cs="Arial"/>
                <w:szCs w:val="22"/>
              </w:rPr>
              <w:t>Vodovod </w:t>
            </w:r>
          </w:p>
        </w:tc>
        <w:tc>
          <w:tcPr>
            <w:tcW w:w="1626"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0,30     </w:t>
            </w:r>
          </w:p>
        </w:tc>
        <w:tc>
          <w:tcPr>
            <w:tcW w:w="1374"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0,84     </w:t>
            </w:r>
          </w:p>
        </w:tc>
      </w:tr>
      <w:tr w:rsidR="00610BD6" w:rsidRPr="005113BD" w:rsidTr="00C67FA6">
        <w:trPr>
          <w:trHeight w:val="397"/>
        </w:trPr>
        <w:tc>
          <w:tcPr>
            <w:tcW w:w="3700" w:type="dxa"/>
            <w:shd w:val="clear" w:color="auto" w:fill="FFFFFF"/>
            <w:noWrap/>
            <w:vAlign w:val="bottom"/>
            <w:hideMark/>
          </w:tcPr>
          <w:p w:rsidR="00610BD6" w:rsidRPr="005113BD" w:rsidRDefault="00610BD6" w:rsidP="00C67FA6">
            <w:pPr>
              <w:rPr>
                <w:rFonts w:cs="Arial"/>
                <w:szCs w:val="22"/>
              </w:rPr>
            </w:pPr>
            <w:r w:rsidRPr="005113BD">
              <w:rPr>
                <w:rFonts w:cs="Arial"/>
                <w:szCs w:val="22"/>
              </w:rPr>
              <w:t>Kanalizacija </w:t>
            </w:r>
          </w:p>
        </w:tc>
        <w:tc>
          <w:tcPr>
            <w:tcW w:w="1626"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1,21     </w:t>
            </w:r>
          </w:p>
        </w:tc>
        <w:tc>
          <w:tcPr>
            <w:tcW w:w="1374" w:type="dxa"/>
            <w:shd w:val="clear" w:color="auto" w:fill="FFFFFF"/>
            <w:noWrap/>
            <w:vAlign w:val="bottom"/>
            <w:hideMark/>
          </w:tcPr>
          <w:p w:rsidR="00610BD6" w:rsidRPr="005113BD" w:rsidRDefault="00610BD6" w:rsidP="00C67FA6">
            <w:pPr>
              <w:jc w:val="right"/>
              <w:rPr>
                <w:rFonts w:cs="Arial"/>
                <w:szCs w:val="22"/>
              </w:rPr>
            </w:pPr>
            <w:r w:rsidRPr="005113BD">
              <w:rPr>
                <w:rFonts w:cs="Arial"/>
                <w:szCs w:val="22"/>
              </w:rPr>
              <w:t xml:space="preserve">                       3,46     </w:t>
            </w:r>
          </w:p>
        </w:tc>
      </w:tr>
      <w:tr w:rsidR="00610BD6" w:rsidRPr="005113BD" w:rsidTr="00C67FA6">
        <w:trPr>
          <w:trHeight w:val="397"/>
        </w:trPr>
        <w:tc>
          <w:tcPr>
            <w:tcW w:w="3700" w:type="dxa"/>
            <w:shd w:val="clear" w:color="auto" w:fill="FFFFFF"/>
            <w:noWrap/>
            <w:vAlign w:val="bottom"/>
            <w:hideMark/>
          </w:tcPr>
          <w:p w:rsidR="00610BD6" w:rsidRPr="005113BD" w:rsidRDefault="00610BD6" w:rsidP="00C67FA6">
            <w:pPr>
              <w:rPr>
                <w:rFonts w:cs="Arial"/>
                <w:szCs w:val="22"/>
              </w:rPr>
            </w:pPr>
            <w:r w:rsidRPr="005113BD">
              <w:rPr>
                <w:rFonts w:cs="Arial"/>
                <w:szCs w:val="22"/>
              </w:rPr>
              <w:t>Skupaj</w:t>
            </w:r>
          </w:p>
        </w:tc>
        <w:tc>
          <w:tcPr>
            <w:tcW w:w="1626" w:type="dxa"/>
            <w:shd w:val="clear" w:color="auto" w:fill="FFFFFF"/>
            <w:noWrap/>
            <w:vAlign w:val="bottom"/>
            <w:hideMark/>
          </w:tcPr>
          <w:p w:rsidR="00610BD6" w:rsidRPr="005113BD" w:rsidRDefault="00610BD6" w:rsidP="00C67FA6">
            <w:pPr>
              <w:jc w:val="right"/>
              <w:rPr>
                <w:rFonts w:cs="Arial"/>
                <w:bCs/>
                <w:szCs w:val="22"/>
              </w:rPr>
            </w:pPr>
            <w:r w:rsidRPr="005113BD">
              <w:rPr>
                <w:rFonts w:cs="Arial"/>
                <w:bCs/>
                <w:szCs w:val="22"/>
              </w:rPr>
              <w:t xml:space="preserve">            12,24     </w:t>
            </w:r>
          </w:p>
        </w:tc>
        <w:tc>
          <w:tcPr>
            <w:tcW w:w="1374" w:type="dxa"/>
            <w:shd w:val="clear" w:color="auto" w:fill="FFFFFF"/>
            <w:noWrap/>
            <w:vAlign w:val="bottom"/>
            <w:hideMark/>
          </w:tcPr>
          <w:p w:rsidR="00610BD6" w:rsidRPr="005113BD" w:rsidRDefault="00610BD6" w:rsidP="00C67FA6">
            <w:pPr>
              <w:jc w:val="right"/>
              <w:rPr>
                <w:rFonts w:cs="Arial"/>
                <w:bCs/>
                <w:szCs w:val="22"/>
              </w:rPr>
            </w:pPr>
            <w:r w:rsidRPr="005113BD">
              <w:rPr>
                <w:rFonts w:cs="Arial"/>
                <w:bCs/>
                <w:szCs w:val="22"/>
              </w:rPr>
              <w:t xml:space="preserve">                      34,91     </w:t>
            </w:r>
          </w:p>
        </w:tc>
      </w:tr>
    </w:tbl>
    <w:p w:rsidR="00610BD6" w:rsidRPr="005113BD" w:rsidRDefault="00610BD6" w:rsidP="00610BD6">
      <w:pPr>
        <w:rPr>
          <w:rFonts w:cs="Arial"/>
          <w:szCs w:val="22"/>
        </w:rPr>
      </w:pPr>
    </w:p>
    <w:p w:rsidR="00610BD6" w:rsidRPr="005113BD" w:rsidRDefault="00610BD6" w:rsidP="00610BD6">
      <w:pPr>
        <w:jc w:val="both"/>
        <w:rPr>
          <w:rFonts w:cs="Arial"/>
          <w:szCs w:val="22"/>
        </w:rPr>
      </w:pPr>
      <w:r w:rsidRPr="005113BD">
        <w:rPr>
          <w:rFonts w:cs="Arial"/>
          <w:szCs w:val="22"/>
        </w:rPr>
        <w:t>(5) V primeru iz 2. odstavka tega člena, se za postopek odmere komunalnega prispevka, poleg določil gradbene zakonodaje, upoštevajo določbe zakona o splošnem upravnem postopku.</w:t>
      </w:r>
    </w:p>
    <w:p w:rsidR="00610BD6" w:rsidRPr="005113BD" w:rsidRDefault="00610BD6" w:rsidP="00610BD6">
      <w:pPr>
        <w:rPr>
          <w:rFonts w:cs="Arial"/>
          <w:szCs w:val="22"/>
        </w:rPr>
      </w:pPr>
    </w:p>
    <w:p w:rsidR="00610BD6" w:rsidRPr="005113BD" w:rsidRDefault="00610BD6" w:rsidP="00610BD6">
      <w:pPr>
        <w:jc w:val="center"/>
        <w:rPr>
          <w:rFonts w:cs="Arial"/>
          <w:szCs w:val="22"/>
        </w:rPr>
      </w:pPr>
      <w:r w:rsidRPr="005113BD">
        <w:rPr>
          <w:rFonts w:cs="Arial"/>
          <w:szCs w:val="22"/>
        </w:rPr>
        <w:t>50. člen</w:t>
      </w:r>
    </w:p>
    <w:p w:rsidR="00610BD6" w:rsidRPr="005113BD" w:rsidRDefault="00610BD6" w:rsidP="00610BD6">
      <w:pPr>
        <w:jc w:val="center"/>
        <w:rPr>
          <w:rFonts w:cs="Arial"/>
          <w:szCs w:val="22"/>
        </w:rPr>
      </w:pPr>
      <w:r w:rsidRPr="005113BD">
        <w:rPr>
          <w:rFonts w:cs="Arial"/>
          <w:szCs w:val="22"/>
        </w:rPr>
        <w:t>(merila za odmero komunalnega prispevka)</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(1) Razmerje med merilom parcele namenjene gradnji [</w:t>
      </w:r>
      <w:proofErr w:type="spellStart"/>
      <w:r w:rsidRPr="005113BD">
        <w:rPr>
          <w:rFonts w:cs="Arial"/>
          <w:szCs w:val="22"/>
        </w:rPr>
        <w:t>Dp</w:t>
      </w:r>
      <w:proofErr w:type="spellEnd"/>
      <w:r w:rsidRPr="005113BD">
        <w:rPr>
          <w:rFonts w:cs="Arial"/>
          <w:szCs w:val="22"/>
        </w:rPr>
        <w:t>] in merilom neto tlorisne površine objekta [</w:t>
      </w:r>
      <w:proofErr w:type="spellStart"/>
      <w:r w:rsidRPr="005113BD">
        <w:rPr>
          <w:rFonts w:cs="Arial"/>
          <w:szCs w:val="22"/>
        </w:rPr>
        <w:t>Dt</w:t>
      </w:r>
      <w:proofErr w:type="spellEnd"/>
      <w:r w:rsidRPr="005113BD">
        <w:rPr>
          <w:rFonts w:cs="Arial"/>
          <w:szCs w:val="22"/>
        </w:rPr>
        <w:t xml:space="preserve">] je določen z vsakokrat veljavnim odlokom o programu opremljanja stavbnih zemljišč ter podlagah in merilih za odmero komunalnega prispevka za obstoječo komunalno opremo na območju občine Vrhnika in znaša </w:t>
      </w:r>
      <w:proofErr w:type="spellStart"/>
      <w:r w:rsidRPr="005113BD">
        <w:rPr>
          <w:rFonts w:cs="Arial"/>
          <w:szCs w:val="22"/>
        </w:rPr>
        <w:t>Dp</w:t>
      </w:r>
      <w:proofErr w:type="spellEnd"/>
      <w:r w:rsidRPr="005113BD">
        <w:rPr>
          <w:rFonts w:cs="Arial"/>
          <w:szCs w:val="22"/>
        </w:rPr>
        <w:t xml:space="preserve"> = 0,4 ter </w:t>
      </w:r>
      <w:proofErr w:type="spellStart"/>
      <w:r w:rsidRPr="005113BD">
        <w:rPr>
          <w:rFonts w:cs="Arial"/>
          <w:szCs w:val="22"/>
        </w:rPr>
        <w:t>Dt</w:t>
      </w:r>
      <w:proofErr w:type="spellEnd"/>
      <w:r w:rsidRPr="005113BD">
        <w:rPr>
          <w:rFonts w:cs="Arial"/>
          <w:szCs w:val="22"/>
        </w:rPr>
        <w:t xml:space="preserve"> = 0,6.</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(2) Faktor dejavnosti se povzame po faktorju dejavnosti, določenim z vsakokrat veljavnim odlokom o programu opremljanja stavbnih zemljišč ter podlagah in merilih za odmero komunalnega prispevka za obstoječo komunalno opremo na območju občine Vrhnika.</w:t>
      </w:r>
    </w:p>
    <w:p w:rsidR="00610BD6" w:rsidRPr="005113BD" w:rsidRDefault="00610BD6" w:rsidP="00610BD6">
      <w:pPr>
        <w:jc w:val="both"/>
        <w:rPr>
          <w:rFonts w:cs="Arial"/>
          <w:szCs w:val="22"/>
        </w:rPr>
      </w:pPr>
    </w:p>
    <w:p w:rsidR="00610BD6" w:rsidRPr="005113BD" w:rsidRDefault="00610BD6" w:rsidP="00610BD6">
      <w:pPr>
        <w:jc w:val="center"/>
        <w:rPr>
          <w:rFonts w:cs="Arial"/>
          <w:szCs w:val="22"/>
        </w:rPr>
      </w:pPr>
      <w:r w:rsidRPr="005113BD">
        <w:rPr>
          <w:rFonts w:cs="Arial"/>
          <w:szCs w:val="22"/>
        </w:rPr>
        <w:t>51. člen</w:t>
      </w:r>
    </w:p>
    <w:p w:rsidR="00610BD6" w:rsidRPr="005113BD" w:rsidRDefault="00610BD6" w:rsidP="00610BD6">
      <w:pPr>
        <w:jc w:val="center"/>
        <w:rPr>
          <w:rFonts w:cs="Arial"/>
          <w:szCs w:val="22"/>
        </w:rPr>
      </w:pPr>
      <w:r w:rsidRPr="005113BD">
        <w:rPr>
          <w:rFonts w:cs="Arial"/>
          <w:szCs w:val="22"/>
        </w:rPr>
        <w:t>(izračun komunalnega prispevka)</w:t>
      </w:r>
    </w:p>
    <w:p w:rsidR="00610BD6" w:rsidRPr="005113BD" w:rsidRDefault="00610BD6" w:rsidP="00610BD6">
      <w:pPr>
        <w:jc w:val="both"/>
        <w:rPr>
          <w:rFonts w:cs="Arial"/>
          <w:szCs w:val="22"/>
        </w:rPr>
      </w:pPr>
      <w:r w:rsidRPr="005113BD">
        <w:rPr>
          <w:rFonts w:cs="Arial"/>
          <w:b/>
          <w:bCs/>
          <w:szCs w:val="22"/>
        </w:rPr>
        <w:t xml:space="preserve"> </w:t>
      </w:r>
    </w:p>
    <w:p w:rsidR="00610BD6" w:rsidRPr="005113BD" w:rsidRDefault="00610BD6" w:rsidP="00610BD6">
      <w:pPr>
        <w:rPr>
          <w:rFonts w:cs="Arial"/>
          <w:szCs w:val="22"/>
        </w:rPr>
      </w:pPr>
      <w:r w:rsidRPr="005113BD">
        <w:rPr>
          <w:rFonts w:cs="Arial"/>
          <w:szCs w:val="22"/>
        </w:rPr>
        <w:t>(1) Komunalni prispevek se izračuna na naslednji način:</w:t>
      </w:r>
    </w:p>
    <w:p w:rsidR="00610BD6" w:rsidRPr="005113BD" w:rsidRDefault="00610BD6" w:rsidP="00610BD6">
      <w:pPr>
        <w:rPr>
          <w:rFonts w:cs="Arial"/>
          <w:szCs w:val="22"/>
        </w:rPr>
      </w:pPr>
    </w:p>
    <w:p w:rsidR="00610BD6" w:rsidRPr="005113BD" w:rsidRDefault="00610BD6" w:rsidP="00610BD6">
      <w:pPr>
        <w:jc w:val="center"/>
        <w:rPr>
          <w:rFonts w:cs="Arial"/>
          <w:b/>
          <w:szCs w:val="22"/>
        </w:rPr>
      </w:pPr>
      <w:proofErr w:type="spellStart"/>
      <w:r w:rsidRPr="005113BD">
        <w:rPr>
          <w:rFonts w:cs="Arial"/>
          <w:b/>
          <w:szCs w:val="22"/>
        </w:rPr>
        <w:t>KP</w:t>
      </w:r>
      <w:r w:rsidRPr="005113BD">
        <w:rPr>
          <w:rFonts w:cs="Arial"/>
          <w:b/>
          <w:szCs w:val="22"/>
          <w:vertAlign w:val="subscript"/>
        </w:rPr>
        <w:t>i</w:t>
      </w:r>
      <w:proofErr w:type="spellEnd"/>
      <w:r w:rsidRPr="005113BD">
        <w:rPr>
          <w:rFonts w:cs="Arial"/>
          <w:b/>
          <w:szCs w:val="22"/>
        </w:rPr>
        <w:t xml:space="preserve"> = (</w:t>
      </w:r>
      <w:proofErr w:type="spellStart"/>
      <w:r w:rsidRPr="005113BD">
        <w:rPr>
          <w:rFonts w:cs="Arial"/>
          <w:b/>
          <w:szCs w:val="22"/>
        </w:rPr>
        <w:t>A</w:t>
      </w:r>
      <w:r w:rsidRPr="005113BD">
        <w:rPr>
          <w:rFonts w:cs="Arial"/>
          <w:b/>
          <w:szCs w:val="22"/>
          <w:vertAlign w:val="subscript"/>
        </w:rPr>
        <w:t>parcela</w:t>
      </w:r>
      <w:proofErr w:type="spellEnd"/>
      <w:r w:rsidRPr="005113BD">
        <w:rPr>
          <w:rFonts w:cs="Arial"/>
          <w:b/>
          <w:szCs w:val="22"/>
        </w:rPr>
        <w:t xml:space="preserve"> · Cp</w:t>
      </w:r>
      <w:r w:rsidRPr="005113BD">
        <w:rPr>
          <w:rFonts w:cs="Arial"/>
          <w:b/>
          <w:szCs w:val="22"/>
          <w:vertAlign w:val="subscript"/>
        </w:rPr>
        <w:t>i1</w:t>
      </w:r>
      <w:r w:rsidRPr="005113BD">
        <w:rPr>
          <w:rFonts w:cs="Arial"/>
          <w:b/>
          <w:szCs w:val="22"/>
        </w:rPr>
        <w:t xml:space="preserve"> · </w:t>
      </w:r>
      <w:proofErr w:type="spellStart"/>
      <w:r w:rsidRPr="005113BD">
        <w:rPr>
          <w:rFonts w:cs="Arial"/>
          <w:b/>
          <w:szCs w:val="22"/>
        </w:rPr>
        <w:t>Dp</w:t>
      </w:r>
      <w:proofErr w:type="spellEnd"/>
      <w:r w:rsidRPr="005113BD">
        <w:rPr>
          <w:rFonts w:cs="Arial"/>
          <w:b/>
          <w:szCs w:val="22"/>
        </w:rPr>
        <w:t>) + (</w:t>
      </w:r>
      <w:proofErr w:type="spellStart"/>
      <w:r w:rsidRPr="005113BD">
        <w:rPr>
          <w:rFonts w:cs="Arial"/>
          <w:b/>
          <w:szCs w:val="22"/>
        </w:rPr>
        <w:t>K</w:t>
      </w:r>
      <w:r w:rsidRPr="005113BD">
        <w:rPr>
          <w:rFonts w:cs="Arial"/>
          <w:b/>
          <w:szCs w:val="22"/>
          <w:vertAlign w:val="subscript"/>
        </w:rPr>
        <w:t>dejavnost</w:t>
      </w:r>
      <w:proofErr w:type="spellEnd"/>
      <w:r w:rsidRPr="005113BD">
        <w:rPr>
          <w:rFonts w:cs="Arial"/>
          <w:b/>
          <w:szCs w:val="22"/>
        </w:rPr>
        <w:t xml:space="preserve"> · </w:t>
      </w:r>
      <w:proofErr w:type="spellStart"/>
      <w:r w:rsidRPr="005113BD">
        <w:rPr>
          <w:rFonts w:cs="Arial"/>
          <w:b/>
          <w:szCs w:val="22"/>
        </w:rPr>
        <w:t>A</w:t>
      </w:r>
      <w:r w:rsidRPr="005113BD">
        <w:rPr>
          <w:rFonts w:cs="Arial"/>
          <w:b/>
          <w:szCs w:val="22"/>
          <w:vertAlign w:val="subscript"/>
        </w:rPr>
        <w:t>tlorisna</w:t>
      </w:r>
      <w:proofErr w:type="spellEnd"/>
      <w:r w:rsidRPr="005113BD">
        <w:rPr>
          <w:rFonts w:cs="Arial"/>
          <w:b/>
          <w:szCs w:val="22"/>
        </w:rPr>
        <w:t xml:space="preserve"> · Ct</w:t>
      </w:r>
      <w:r w:rsidRPr="005113BD">
        <w:rPr>
          <w:rFonts w:cs="Arial"/>
          <w:b/>
          <w:szCs w:val="22"/>
          <w:vertAlign w:val="subscript"/>
        </w:rPr>
        <w:t>i1</w:t>
      </w:r>
      <w:r w:rsidRPr="005113BD">
        <w:rPr>
          <w:rFonts w:cs="Arial"/>
          <w:b/>
          <w:szCs w:val="22"/>
        </w:rPr>
        <w:t xml:space="preserve"> · </w:t>
      </w:r>
      <w:proofErr w:type="spellStart"/>
      <w:r w:rsidRPr="005113BD">
        <w:rPr>
          <w:rFonts w:cs="Arial"/>
          <w:b/>
          <w:szCs w:val="22"/>
        </w:rPr>
        <w:t>Dt</w:t>
      </w:r>
      <w:proofErr w:type="spellEnd"/>
      <w:r w:rsidRPr="005113BD">
        <w:rPr>
          <w:rFonts w:cs="Arial"/>
          <w:b/>
          <w:szCs w:val="22"/>
        </w:rPr>
        <w:t>)</w:t>
      </w:r>
    </w:p>
    <w:p w:rsidR="00610BD6" w:rsidRPr="005113BD" w:rsidRDefault="00610BD6" w:rsidP="00610BD6">
      <w:pPr>
        <w:jc w:val="center"/>
        <w:rPr>
          <w:rFonts w:cs="Arial"/>
          <w:b/>
          <w:szCs w:val="22"/>
        </w:rPr>
      </w:pPr>
      <w:r w:rsidRPr="005113BD">
        <w:rPr>
          <w:rFonts w:cs="Arial"/>
          <w:b/>
          <w:szCs w:val="22"/>
        </w:rPr>
        <w:t xml:space="preserve">KP = </w:t>
      </w:r>
      <w:proofErr w:type="spellStart"/>
      <w:r w:rsidRPr="005113BD">
        <w:rPr>
          <w:rFonts w:cs="Arial"/>
          <w:b/>
          <w:szCs w:val="22"/>
        </w:rPr>
        <w:t>ΣKP</w:t>
      </w:r>
      <w:r w:rsidRPr="005113BD">
        <w:rPr>
          <w:rFonts w:cs="Arial"/>
          <w:b/>
          <w:szCs w:val="22"/>
          <w:vertAlign w:val="subscript"/>
        </w:rPr>
        <w:t>i</w:t>
      </w:r>
      <w:proofErr w:type="spellEnd"/>
    </w:p>
    <w:p w:rsidR="00610BD6" w:rsidRPr="005113BD" w:rsidRDefault="00610BD6" w:rsidP="00610BD6">
      <w:pPr>
        <w:rPr>
          <w:rFonts w:cs="Arial"/>
          <w:szCs w:val="22"/>
        </w:rPr>
      </w:pPr>
      <w:r w:rsidRPr="005113BD">
        <w:rPr>
          <w:rFonts w:cs="Arial"/>
          <w:szCs w:val="22"/>
        </w:rPr>
        <w:t>Oznake pomenijo:</w:t>
      </w:r>
    </w:p>
    <w:p w:rsidR="00610BD6" w:rsidRPr="005113BD" w:rsidRDefault="00610BD6" w:rsidP="00610BD6">
      <w:pPr>
        <w:tabs>
          <w:tab w:val="left" w:leader="dot" w:pos="1440"/>
        </w:tabs>
        <w:ind w:left="1440" w:hanging="1440"/>
        <w:rPr>
          <w:rFonts w:cs="Arial"/>
          <w:szCs w:val="22"/>
        </w:rPr>
      </w:pPr>
      <w:proofErr w:type="spellStart"/>
      <w:r w:rsidRPr="005113BD">
        <w:rPr>
          <w:rFonts w:cs="Arial"/>
          <w:szCs w:val="22"/>
        </w:rPr>
        <w:t>KP</w:t>
      </w:r>
      <w:r w:rsidRPr="005113BD">
        <w:rPr>
          <w:rFonts w:cs="Arial"/>
          <w:szCs w:val="22"/>
          <w:vertAlign w:val="subscript"/>
        </w:rPr>
        <w:t>i</w:t>
      </w:r>
      <w:proofErr w:type="spellEnd"/>
      <w:r w:rsidRPr="005113BD">
        <w:rPr>
          <w:rFonts w:cs="Arial"/>
          <w:szCs w:val="22"/>
        </w:rPr>
        <w:tab/>
        <w:t>komunalni prispevek za posamezno komunalno opremo</w:t>
      </w:r>
    </w:p>
    <w:p w:rsidR="00610BD6" w:rsidRPr="005113BD" w:rsidRDefault="00610BD6" w:rsidP="00610BD6">
      <w:pPr>
        <w:tabs>
          <w:tab w:val="left" w:leader="dot" w:pos="1440"/>
        </w:tabs>
        <w:ind w:left="1440" w:hanging="1440"/>
        <w:rPr>
          <w:rFonts w:cs="Arial"/>
          <w:szCs w:val="22"/>
        </w:rPr>
      </w:pPr>
      <w:r w:rsidRPr="005113BD">
        <w:rPr>
          <w:rFonts w:cs="Arial"/>
          <w:szCs w:val="22"/>
        </w:rPr>
        <w:t>KP</w:t>
      </w:r>
      <w:r w:rsidRPr="005113BD">
        <w:rPr>
          <w:rFonts w:cs="Arial"/>
          <w:szCs w:val="22"/>
        </w:rPr>
        <w:tab/>
        <w:t xml:space="preserve">celotni komunalni prispevek </w:t>
      </w:r>
    </w:p>
    <w:p w:rsidR="00610BD6" w:rsidRPr="005113BD" w:rsidRDefault="00610BD6" w:rsidP="00610BD6">
      <w:pPr>
        <w:tabs>
          <w:tab w:val="left" w:leader="dot" w:pos="1440"/>
        </w:tabs>
        <w:ind w:left="1440" w:hanging="1440"/>
        <w:rPr>
          <w:rFonts w:cs="Arial"/>
          <w:szCs w:val="22"/>
        </w:rPr>
      </w:pPr>
      <w:proofErr w:type="spellStart"/>
      <w:r w:rsidRPr="005113BD">
        <w:rPr>
          <w:rFonts w:cs="Arial"/>
          <w:szCs w:val="22"/>
        </w:rPr>
        <w:t>A</w:t>
      </w:r>
      <w:r w:rsidRPr="005113BD">
        <w:rPr>
          <w:rFonts w:cs="Arial"/>
          <w:szCs w:val="22"/>
          <w:vertAlign w:val="subscript"/>
        </w:rPr>
        <w:t>parcela</w:t>
      </w:r>
      <w:proofErr w:type="spellEnd"/>
      <w:r w:rsidRPr="005113BD">
        <w:rPr>
          <w:rFonts w:cs="Arial"/>
          <w:szCs w:val="22"/>
        </w:rPr>
        <w:tab/>
        <w:t>površina parcele namenjene gradnji</w:t>
      </w:r>
    </w:p>
    <w:p w:rsidR="00610BD6" w:rsidRPr="005113BD" w:rsidRDefault="00610BD6" w:rsidP="00610BD6">
      <w:pPr>
        <w:tabs>
          <w:tab w:val="left" w:leader="dot" w:pos="1440"/>
        </w:tabs>
        <w:ind w:left="1440" w:hanging="1440"/>
        <w:rPr>
          <w:rFonts w:cs="Arial"/>
          <w:szCs w:val="22"/>
        </w:rPr>
      </w:pPr>
      <w:proofErr w:type="spellStart"/>
      <w:r w:rsidRPr="005113BD">
        <w:rPr>
          <w:rFonts w:cs="Arial"/>
          <w:szCs w:val="22"/>
        </w:rPr>
        <w:t>A</w:t>
      </w:r>
      <w:r w:rsidRPr="005113BD">
        <w:rPr>
          <w:rFonts w:cs="Arial"/>
          <w:szCs w:val="22"/>
          <w:vertAlign w:val="subscript"/>
        </w:rPr>
        <w:t>tlorisna</w:t>
      </w:r>
      <w:proofErr w:type="spellEnd"/>
      <w:r w:rsidRPr="005113BD">
        <w:rPr>
          <w:rFonts w:cs="Arial"/>
          <w:szCs w:val="22"/>
        </w:rPr>
        <w:tab/>
        <w:t>neto tlorisna površina objekta</w:t>
      </w:r>
    </w:p>
    <w:p w:rsidR="00610BD6" w:rsidRPr="005113BD" w:rsidRDefault="00610BD6" w:rsidP="00610BD6">
      <w:pPr>
        <w:tabs>
          <w:tab w:val="left" w:leader="dot" w:pos="1440"/>
        </w:tabs>
        <w:ind w:left="1440" w:hanging="1440"/>
        <w:rPr>
          <w:rFonts w:cs="Arial"/>
          <w:szCs w:val="22"/>
        </w:rPr>
      </w:pPr>
      <w:proofErr w:type="spellStart"/>
      <w:r w:rsidRPr="005113BD">
        <w:rPr>
          <w:rFonts w:cs="Arial"/>
          <w:szCs w:val="22"/>
        </w:rPr>
        <w:t>Dp</w:t>
      </w:r>
      <w:proofErr w:type="spellEnd"/>
      <w:r w:rsidRPr="005113BD">
        <w:rPr>
          <w:rFonts w:cs="Arial"/>
          <w:szCs w:val="22"/>
        </w:rPr>
        <w:tab/>
        <w:t>delež parcele namenjene gradnji pri izračunu komunalnega prispevka</w:t>
      </w:r>
    </w:p>
    <w:p w:rsidR="00610BD6" w:rsidRPr="005113BD" w:rsidRDefault="00610BD6" w:rsidP="00610BD6">
      <w:pPr>
        <w:tabs>
          <w:tab w:val="left" w:leader="dot" w:pos="1440"/>
        </w:tabs>
        <w:ind w:left="1440" w:hanging="1440"/>
        <w:rPr>
          <w:rFonts w:cs="Arial"/>
          <w:szCs w:val="22"/>
        </w:rPr>
      </w:pPr>
      <w:proofErr w:type="spellStart"/>
      <w:r w:rsidRPr="005113BD">
        <w:rPr>
          <w:rFonts w:cs="Arial"/>
          <w:szCs w:val="22"/>
        </w:rPr>
        <w:t>Dt</w:t>
      </w:r>
      <w:proofErr w:type="spellEnd"/>
      <w:r w:rsidRPr="005113BD">
        <w:rPr>
          <w:rFonts w:cs="Arial"/>
          <w:szCs w:val="22"/>
        </w:rPr>
        <w:tab/>
        <w:t>delež objekta pri izračunu komunalnega prispevka</w:t>
      </w:r>
    </w:p>
    <w:p w:rsidR="00610BD6" w:rsidRPr="005113BD" w:rsidRDefault="00610BD6" w:rsidP="00610BD6">
      <w:pPr>
        <w:tabs>
          <w:tab w:val="left" w:leader="dot" w:pos="1440"/>
        </w:tabs>
        <w:ind w:left="1440" w:hanging="1440"/>
        <w:rPr>
          <w:rFonts w:cs="Arial"/>
          <w:szCs w:val="22"/>
        </w:rPr>
      </w:pPr>
      <w:r w:rsidRPr="005113BD">
        <w:rPr>
          <w:rFonts w:cs="Arial"/>
          <w:szCs w:val="22"/>
        </w:rPr>
        <w:t>Cp</w:t>
      </w:r>
      <w:r w:rsidRPr="005113BD">
        <w:rPr>
          <w:rFonts w:cs="Arial"/>
          <w:szCs w:val="22"/>
          <w:vertAlign w:val="subscript"/>
        </w:rPr>
        <w:t>i1</w:t>
      </w:r>
      <w:r w:rsidRPr="005113BD">
        <w:rPr>
          <w:rFonts w:cs="Arial"/>
          <w:szCs w:val="22"/>
        </w:rPr>
        <w:tab/>
        <w:t>indeksirani stroški opremljanja m</w:t>
      </w:r>
      <w:r w:rsidRPr="005113BD">
        <w:rPr>
          <w:rFonts w:cs="Arial"/>
          <w:szCs w:val="22"/>
          <w:vertAlign w:val="superscript"/>
        </w:rPr>
        <w:t>2</w:t>
      </w:r>
      <w:r w:rsidRPr="005113BD">
        <w:rPr>
          <w:rFonts w:cs="Arial"/>
          <w:szCs w:val="22"/>
        </w:rPr>
        <w:t xml:space="preserve"> parcele namenjene gradnji za posamezno komunalno opremo </w:t>
      </w:r>
    </w:p>
    <w:p w:rsidR="00610BD6" w:rsidRPr="005113BD" w:rsidRDefault="00610BD6" w:rsidP="00610BD6">
      <w:pPr>
        <w:ind w:left="1418" w:hanging="1418"/>
        <w:jc w:val="both"/>
        <w:rPr>
          <w:rFonts w:cs="Arial"/>
          <w:szCs w:val="22"/>
        </w:rPr>
      </w:pPr>
      <w:r w:rsidRPr="005113BD">
        <w:rPr>
          <w:rFonts w:cs="Arial"/>
          <w:szCs w:val="22"/>
        </w:rPr>
        <w:t>Ct</w:t>
      </w:r>
      <w:r w:rsidRPr="005113BD">
        <w:rPr>
          <w:rFonts w:cs="Arial"/>
          <w:szCs w:val="22"/>
          <w:vertAlign w:val="subscript"/>
        </w:rPr>
        <w:t>i1</w:t>
      </w:r>
      <w:r w:rsidRPr="005113BD">
        <w:rPr>
          <w:rFonts w:cs="Arial"/>
          <w:szCs w:val="22"/>
        </w:rPr>
        <w:t>……………..indeksirani stroški opremljanja m</w:t>
      </w:r>
      <w:r w:rsidRPr="005113BD">
        <w:rPr>
          <w:rFonts w:cs="Arial"/>
          <w:szCs w:val="22"/>
          <w:vertAlign w:val="superscript"/>
        </w:rPr>
        <w:t>2</w:t>
      </w:r>
      <w:r w:rsidRPr="005113BD">
        <w:rPr>
          <w:rFonts w:cs="Arial"/>
          <w:szCs w:val="22"/>
        </w:rPr>
        <w:t xml:space="preserve"> neto tlorisne površine objekta za posamezno komunalno opremo</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(2) Izračun komunalnega prispevka se izvede na zahtevo investitorja pred izdajo gradbenega dovoljenja.</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(3) Pri izračunu komunalnega prispevka se upoštevajo površine parcele namenjene gradnji oz. neto tlorisne površine objekta iz projektne dokumentacije.</w:t>
      </w:r>
    </w:p>
    <w:p w:rsidR="00610BD6" w:rsidRPr="005113BD" w:rsidRDefault="00610BD6" w:rsidP="00610BD6">
      <w:pPr>
        <w:jc w:val="center"/>
        <w:rPr>
          <w:rFonts w:cs="Arial"/>
          <w:szCs w:val="22"/>
        </w:rPr>
      </w:pPr>
    </w:p>
    <w:p w:rsidR="00610BD6" w:rsidRPr="005113BD" w:rsidRDefault="00610BD6" w:rsidP="00610BD6">
      <w:pPr>
        <w:jc w:val="center"/>
        <w:rPr>
          <w:rFonts w:cs="Arial"/>
          <w:szCs w:val="22"/>
        </w:rPr>
      </w:pPr>
      <w:r w:rsidRPr="005113BD">
        <w:rPr>
          <w:rFonts w:cs="Arial"/>
          <w:szCs w:val="22"/>
        </w:rPr>
        <w:t>52. člen</w:t>
      </w:r>
    </w:p>
    <w:p w:rsidR="00610BD6" w:rsidRPr="005113BD" w:rsidRDefault="00610BD6" w:rsidP="00610BD6">
      <w:pPr>
        <w:jc w:val="center"/>
        <w:rPr>
          <w:rFonts w:cs="Arial"/>
          <w:szCs w:val="22"/>
        </w:rPr>
      </w:pPr>
      <w:r w:rsidRPr="005113BD">
        <w:rPr>
          <w:rFonts w:cs="Arial"/>
          <w:szCs w:val="22"/>
        </w:rPr>
        <w:t>(odmera komunalnega prispevka)</w:t>
      </w:r>
    </w:p>
    <w:p w:rsidR="00610BD6" w:rsidRPr="005113BD" w:rsidRDefault="00610BD6" w:rsidP="00610BD6">
      <w:pPr>
        <w:rPr>
          <w:rFonts w:cs="Arial"/>
          <w:szCs w:val="22"/>
        </w:rPr>
      </w:pPr>
    </w:p>
    <w:p w:rsidR="00610BD6" w:rsidRPr="005113BD" w:rsidRDefault="00610BD6" w:rsidP="00610BD6">
      <w:pPr>
        <w:jc w:val="both"/>
        <w:rPr>
          <w:rFonts w:cs="Arial"/>
          <w:szCs w:val="22"/>
        </w:rPr>
      </w:pPr>
      <w:r w:rsidRPr="005113BD">
        <w:rPr>
          <w:rFonts w:cs="Arial"/>
          <w:szCs w:val="22"/>
        </w:rPr>
        <w:t>(1) Komunalni prispevek se odmeri za gradnjo vseh oz. posameznih objektov, ki se nahajajo v posamezni prostorski enoti, če ti objekti izpolnjujejo pogoje iz programa opremljanja, predvsem pogoj da se priključujejo na komunalno opremo oziroma jo koristijo.</w:t>
      </w:r>
    </w:p>
    <w:p w:rsidR="00610BD6" w:rsidRPr="005113BD" w:rsidRDefault="00610BD6" w:rsidP="00610BD6">
      <w:pPr>
        <w:pStyle w:val="Odstavek"/>
        <w:tabs>
          <w:tab w:val="left" w:pos="425"/>
        </w:tabs>
        <w:spacing w:before="0" w:after="0"/>
        <w:rPr>
          <w:rFonts w:cs="Arial"/>
          <w:szCs w:val="22"/>
          <w:lang w:val="sl-SI"/>
        </w:rPr>
      </w:pPr>
    </w:p>
    <w:p w:rsidR="00610BD6" w:rsidRPr="005113BD" w:rsidRDefault="00610BD6" w:rsidP="00610BD6">
      <w:pPr>
        <w:pStyle w:val="Odstavek"/>
        <w:tabs>
          <w:tab w:val="left" w:pos="425"/>
        </w:tabs>
        <w:spacing w:before="0" w:after="0"/>
        <w:rPr>
          <w:rFonts w:cs="Arial"/>
          <w:szCs w:val="22"/>
        </w:rPr>
      </w:pPr>
      <w:r w:rsidRPr="005113BD">
        <w:rPr>
          <w:rFonts w:cs="Arial"/>
          <w:szCs w:val="22"/>
          <w:lang w:val="sl-SI"/>
        </w:rPr>
        <w:t xml:space="preserve">(2) </w:t>
      </w:r>
      <w:r w:rsidRPr="005113BD">
        <w:rPr>
          <w:rFonts w:cs="Arial"/>
          <w:szCs w:val="22"/>
        </w:rPr>
        <w:t>Komunalni prispevek se plača v enkratnem (celotnem) znesku.</w:t>
      </w:r>
    </w:p>
    <w:p w:rsidR="00610BD6" w:rsidRPr="005113BD" w:rsidRDefault="00610BD6" w:rsidP="00610BD6">
      <w:pPr>
        <w:rPr>
          <w:rFonts w:cs="Arial"/>
          <w:szCs w:val="22"/>
        </w:rPr>
      </w:pPr>
    </w:p>
    <w:p w:rsidR="00610BD6" w:rsidRPr="005113BD" w:rsidRDefault="00610BD6" w:rsidP="00610BD6">
      <w:pPr>
        <w:pStyle w:val="Odstavek"/>
        <w:tabs>
          <w:tab w:val="left" w:pos="425"/>
        </w:tabs>
        <w:spacing w:before="0" w:after="0"/>
        <w:ind w:left="0" w:firstLine="0"/>
        <w:rPr>
          <w:rFonts w:cs="Arial"/>
          <w:szCs w:val="22"/>
        </w:rPr>
      </w:pPr>
      <w:r w:rsidRPr="005113BD">
        <w:rPr>
          <w:rFonts w:cs="Arial"/>
          <w:szCs w:val="22"/>
        </w:rPr>
        <w:t>(</w:t>
      </w:r>
      <w:r w:rsidRPr="005113BD">
        <w:rPr>
          <w:rFonts w:cs="Arial"/>
          <w:szCs w:val="22"/>
          <w:lang w:val="sl-SI"/>
        </w:rPr>
        <w:t>3</w:t>
      </w:r>
      <w:r w:rsidRPr="005113BD">
        <w:rPr>
          <w:rFonts w:cs="Arial"/>
          <w:szCs w:val="22"/>
        </w:rPr>
        <w:t>) Stroški izgradnje zasebnega priključka so dodatni stroški zavezanca in ne vplivajo na višino odmerjenega komunalnega prispevka.</w:t>
      </w:r>
    </w:p>
    <w:p w:rsidR="00610BD6" w:rsidRPr="005113BD" w:rsidRDefault="00610BD6" w:rsidP="00610BD6">
      <w:pPr>
        <w:pStyle w:val="Odstavek"/>
        <w:tabs>
          <w:tab w:val="left" w:pos="425"/>
        </w:tabs>
        <w:spacing w:before="0" w:after="0"/>
        <w:ind w:left="0" w:firstLine="0"/>
        <w:rPr>
          <w:rFonts w:cs="Arial"/>
          <w:szCs w:val="22"/>
          <w:lang w:val="sl-SI"/>
        </w:rPr>
      </w:pPr>
    </w:p>
    <w:p w:rsidR="00610BD6" w:rsidRPr="005113BD" w:rsidRDefault="00610BD6" w:rsidP="00610BD6">
      <w:pPr>
        <w:pStyle w:val="Odstavek"/>
        <w:tabs>
          <w:tab w:val="left" w:pos="425"/>
        </w:tabs>
        <w:spacing w:before="0" w:after="0"/>
        <w:ind w:left="0" w:firstLine="0"/>
        <w:rPr>
          <w:rFonts w:cs="Arial"/>
          <w:szCs w:val="22"/>
        </w:rPr>
      </w:pPr>
      <w:r w:rsidRPr="005113BD">
        <w:rPr>
          <w:rFonts w:cs="Arial"/>
          <w:szCs w:val="22"/>
          <w:lang w:val="sl-SI"/>
        </w:rPr>
        <w:t xml:space="preserve">(4) </w:t>
      </w:r>
      <w:r w:rsidRPr="005113BD">
        <w:rPr>
          <w:rFonts w:cs="Arial"/>
          <w:szCs w:val="22"/>
        </w:rPr>
        <w:t>Investitor se mora priključiti na komunalno opremo, katero koristi in mu je nanjo omogočena priključitev.</w:t>
      </w:r>
    </w:p>
    <w:p w:rsidR="00610BD6" w:rsidRPr="005113BD" w:rsidRDefault="00610BD6" w:rsidP="00610BD6">
      <w:pPr>
        <w:jc w:val="both"/>
        <w:rPr>
          <w:rFonts w:cs="Arial"/>
          <w:szCs w:val="22"/>
        </w:rPr>
      </w:pPr>
    </w:p>
    <w:p w:rsidR="00610BD6" w:rsidRPr="005113BD" w:rsidRDefault="00610BD6" w:rsidP="00610BD6">
      <w:pPr>
        <w:jc w:val="center"/>
        <w:rPr>
          <w:rFonts w:cs="Arial"/>
          <w:szCs w:val="22"/>
        </w:rPr>
      </w:pPr>
      <w:r w:rsidRPr="005113BD">
        <w:rPr>
          <w:rFonts w:cs="Arial"/>
          <w:szCs w:val="22"/>
        </w:rPr>
        <w:t>53. člen</w:t>
      </w:r>
    </w:p>
    <w:p w:rsidR="00610BD6" w:rsidRPr="005113BD" w:rsidRDefault="00610BD6" w:rsidP="00610BD6">
      <w:pPr>
        <w:jc w:val="center"/>
        <w:rPr>
          <w:rFonts w:cs="Arial"/>
          <w:szCs w:val="22"/>
        </w:rPr>
      </w:pPr>
      <w:r w:rsidRPr="005113BD">
        <w:rPr>
          <w:rFonts w:cs="Arial"/>
          <w:szCs w:val="22"/>
        </w:rPr>
        <w:t>(pogodba o opremljanju)</w:t>
      </w:r>
    </w:p>
    <w:p w:rsidR="00610BD6" w:rsidRPr="005113BD" w:rsidRDefault="00610BD6" w:rsidP="00610BD6">
      <w:pPr>
        <w:jc w:val="both"/>
        <w:rPr>
          <w:rFonts w:cs="Arial"/>
          <w:szCs w:val="22"/>
        </w:rPr>
      </w:pPr>
      <w:r w:rsidRPr="005113BD">
        <w:rPr>
          <w:rFonts w:cs="Arial"/>
          <w:szCs w:val="22"/>
        </w:rPr>
        <w:t xml:space="preserve"> </w:t>
      </w:r>
    </w:p>
    <w:p w:rsidR="00610BD6" w:rsidRPr="005113BD" w:rsidRDefault="00610BD6" w:rsidP="00610BD6">
      <w:pPr>
        <w:jc w:val="both"/>
        <w:rPr>
          <w:rFonts w:cs="Arial"/>
          <w:szCs w:val="22"/>
        </w:rPr>
      </w:pPr>
      <w:r w:rsidRPr="005113BD">
        <w:rPr>
          <w:rFonts w:cs="Arial"/>
          <w:szCs w:val="22"/>
        </w:rPr>
        <w:t>(1) Gradnjo predvidene komunalne opreme, ki je upoštevana v Programu opremljanja, lahko Občina Vrhnika s pogodbo o opremljanju odda zavezancu za plačilo komunalnega prispevka.</w:t>
      </w:r>
    </w:p>
    <w:p w:rsidR="00610BD6" w:rsidRPr="005113BD" w:rsidRDefault="00610BD6" w:rsidP="00610BD6">
      <w:pPr>
        <w:jc w:val="both"/>
        <w:rPr>
          <w:rFonts w:cs="Arial"/>
          <w:szCs w:val="22"/>
        </w:rPr>
      </w:pPr>
    </w:p>
    <w:p w:rsidR="00610BD6" w:rsidRPr="005113BD" w:rsidRDefault="00610BD6" w:rsidP="00610BD6">
      <w:pPr>
        <w:numPr>
          <w:ilvl w:val="0"/>
          <w:numId w:val="17"/>
        </w:numPr>
        <w:ind w:left="0" w:firstLine="0"/>
        <w:jc w:val="both"/>
        <w:rPr>
          <w:rFonts w:cs="Arial"/>
          <w:szCs w:val="22"/>
        </w:rPr>
      </w:pPr>
      <w:r w:rsidRPr="005113BD">
        <w:rPr>
          <w:rFonts w:cs="Arial"/>
          <w:szCs w:val="22"/>
        </w:rPr>
        <w:t>S pogodbo o opremljanju se zavezanec za plačilo komunalnega prispevka in Občina Vrhnika dogovorita, da bo zavezanec za plačilo komunalnega prispevka sam zgradil del ali celotno komunalno opremo za opremljanje parcel namenjene gradnji, na kateri namerava graditi. V tem primeru se v pogodbi o opremljanju natančno opredelijo pogodbene obveznosti obeh strank.</w:t>
      </w:r>
    </w:p>
    <w:p w:rsidR="00610BD6" w:rsidRPr="005113BD" w:rsidRDefault="00610BD6" w:rsidP="00610BD6">
      <w:pPr>
        <w:jc w:val="both"/>
        <w:rPr>
          <w:rFonts w:cs="Arial"/>
          <w:szCs w:val="22"/>
        </w:rPr>
      </w:pPr>
    </w:p>
    <w:p w:rsidR="00610BD6" w:rsidRPr="005113BD" w:rsidRDefault="00610BD6" w:rsidP="00610BD6">
      <w:pPr>
        <w:numPr>
          <w:ilvl w:val="0"/>
          <w:numId w:val="17"/>
        </w:numPr>
        <w:ind w:left="0" w:firstLine="0"/>
        <w:jc w:val="both"/>
        <w:rPr>
          <w:rFonts w:cs="Arial"/>
          <w:szCs w:val="22"/>
        </w:rPr>
      </w:pPr>
      <w:r w:rsidRPr="005113BD">
        <w:rPr>
          <w:rFonts w:cs="Arial"/>
          <w:bCs/>
          <w:szCs w:val="22"/>
        </w:rPr>
        <w:t xml:space="preserve">Stroške izgradnje nove komunalne opreme nosi investitor. </w:t>
      </w:r>
    </w:p>
    <w:p w:rsidR="00610BD6" w:rsidRPr="005113BD" w:rsidRDefault="00610BD6" w:rsidP="00610BD6">
      <w:pPr>
        <w:pStyle w:val="Telobesedila-zamik2"/>
        <w:tabs>
          <w:tab w:val="left" w:pos="360"/>
        </w:tabs>
        <w:ind w:left="0" w:firstLine="0"/>
        <w:jc w:val="both"/>
        <w:rPr>
          <w:bCs/>
        </w:rPr>
      </w:pPr>
      <w:r w:rsidRPr="005113BD">
        <w:rPr>
          <w:bCs/>
        </w:rPr>
        <w:t>Šteje se, da je investitor na ta način v naravi plačal komunalni prispevek za komunalno opremo, ki jo je sam zgradil. Občina je dolžna prevzeti komunalno opremo za katero je izdano uporabno dovoljenje in je zgrajena skladno s pogodbo o opremljanju.</w:t>
      </w:r>
    </w:p>
    <w:p w:rsidR="00610BD6" w:rsidRPr="005113BD" w:rsidRDefault="00610BD6" w:rsidP="00610BD6">
      <w:pPr>
        <w:pStyle w:val="Odstavek"/>
        <w:tabs>
          <w:tab w:val="left" w:pos="425"/>
        </w:tabs>
        <w:spacing w:before="0" w:line="288" w:lineRule="auto"/>
        <w:ind w:left="0" w:firstLine="0"/>
        <w:rPr>
          <w:rFonts w:cs="Arial"/>
          <w:szCs w:val="22"/>
          <w:lang w:val="sl-SI"/>
        </w:rPr>
      </w:pPr>
    </w:p>
    <w:p w:rsidR="00610BD6" w:rsidRPr="005113BD" w:rsidRDefault="00610BD6" w:rsidP="00610BD6">
      <w:pPr>
        <w:pStyle w:val="Odstavek"/>
        <w:tabs>
          <w:tab w:val="left" w:pos="425"/>
        </w:tabs>
        <w:spacing w:before="0" w:after="0"/>
        <w:ind w:left="0" w:firstLine="0"/>
        <w:rPr>
          <w:rFonts w:cs="Arial"/>
          <w:szCs w:val="22"/>
          <w:lang w:val="sl-SI"/>
        </w:rPr>
      </w:pPr>
      <w:r w:rsidRPr="005113BD">
        <w:rPr>
          <w:rFonts w:cs="Arial"/>
          <w:szCs w:val="22"/>
          <w:lang w:val="sl-SI"/>
        </w:rPr>
        <w:t>(4) Če je komunalna oprema zgrajena na zemljišču, ki ni javno dobro ali ni v lasti občine, je o</w:t>
      </w:r>
      <w:r w:rsidRPr="005113BD">
        <w:rPr>
          <w:rFonts w:cs="Arial"/>
          <w:szCs w:val="22"/>
          <w:shd w:val="clear" w:color="auto" w:fill="FFFFFF"/>
          <w:lang w:val="sl-SI"/>
        </w:rPr>
        <w:t>bčina dolžna prevzeti novo komunalno opremo, ki je zgrajena skladno z veljavnimi akti, ki to komunalno opremo določajo (OPPN in Program opremljanja), je zanjo sklenjena pogodba o opremljanju, je zanjo izdano uporabno dovoljenje, ter urejene pravice uporabe in vzdrževanja v korist občine, javnega podjetja ali upravljavca, ki upravlja s posamezno komunalno infrastrukturo v Občini Vrhnika.</w:t>
      </w:r>
    </w:p>
    <w:p w:rsidR="00610BD6" w:rsidRPr="005113BD" w:rsidRDefault="00610BD6" w:rsidP="00610BD6">
      <w:pPr>
        <w:pStyle w:val="Odstavek"/>
        <w:tabs>
          <w:tab w:val="left" w:pos="425"/>
        </w:tabs>
        <w:spacing w:before="0" w:after="0"/>
        <w:ind w:left="0" w:firstLine="0"/>
        <w:rPr>
          <w:rFonts w:cs="Arial"/>
          <w:szCs w:val="22"/>
          <w:lang w:val="sl-SI"/>
        </w:rPr>
      </w:pPr>
    </w:p>
    <w:p w:rsidR="00610BD6" w:rsidRPr="005113BD" w:rsidRDefault="00610BD6" w:rsidP="00610BD6">
      <w:pPr>
        <w:pStyle w:val="Odstavek"/>
        <w:tabs>
          <w:tab w:val="left" w:pos="425"/>
        </w:tabs>
        <w:spacing w:before="0" w:after="0"/>
        <w:ind w:left="0" w:firstLine="0"/>
        <w:rPr>
          <w:rFonts w:cs="Arial"/>
          <w:szCs w:val="22"/>
        </w:rPr>
      </w:pPr>
      <w:r w:rsidRPr="005113BD">
        <w:rPr>
          <w:rFonts w:cs="Arial"/>
          <w:szCs w:val="22"/>
          <w:lang w:val="sl-SI"/>
        </w:rPr>
        <w:t xml:space="preserve">(5) </w:t>
      </w:r>
      <w:r w:rsidRPr="005113BD">
        <w:rPr>
          <w:rFonts w:cs="Arial"/>
          <w:szCs w:val="22"/>
        </w:rPr>
        <w:t>V primeru sklenitve pogodbe o opremljanju, mora investitor poravnati še sorazmerni del komunalnega prispevka za obstoječo komunalno opremo, na katero se bo priključeval.</w:t>
      </w:r>
    </w:p>
    <w:p w:rsidR="00610BD6" w:rsidRPr="005113BD" w:rsidRDefault="00610BD6" w:rsidP="00610BD6">
      <w:pPr>
        <w:pStyle w:val="Default"/>
        <w:rPr>
          <w:color w:val="auto"/>
          <w:sz w:val="22"/>
          <w:szCs w:val="22"/>
          <w:lang w:val="x-none"/>
        </w:rPr>
      </w:pPr>
    </w:p>
    <w:p w:rsidR="00610BD6" w:rsidRPr="005113BD" w:rsidRDefault="00610BD6" w:rsidP="00610BD6">
      <w:pPr>
        <w:jc w:val="both"/>
        <w:rPr>
          <w:rFonts w:cs="Arial"/>
          <w:b/>
          <w:szCs w:val="22"/>
          <w:lang w:val="x-none"/>
        </w:rPr>
      </w:pPr>
    </w:p>
    <w:p w:rsidR="00610BD6" w:rsidRPr="005113BD" w:rsidRDefault="00610BD6" w:rsidP="00610BD6">
      <w:pPr>
        <w:autoSpaceDE w:val="0"/>
        <w:autoSpaceDN w:val="0"/>
        <w:adjustRightInd w:val="0"/>
        <w:jc w:val="both"/>
        <w:rPr>
          <w:rFonts w:cs="Arial"/>
          <w:bCs/>
          <w:szCs w:val="22"/>
        </w:rPr>
      </w:pPr>
      <w:r w:rsidRPr="005113BD">
        <w:rPr>
          <w:rFonts w:cs="Arial"/>
          <w:bCs/>
          <w:szCs w:val="22"/>
        </w:rPr>
        <w:t>XI. DRUGI POGOJI IN ZAHTEVE ZA IZVAJANJE OPPN</w:t>
      </w: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t>54. člen</w:t>
      </w:r>
    </w:p>
    <w:p w:rsidR="00610BD6" w:rsidRPr="005113BD" w:rsidRDefault="00610BD6" w:rsidP="00610BD6">
      <w:pPr>
        <w:jc w:val="center"/>
        <w:rPr>
          <w:rFonts w:cs="Arial"/>
          <w:bCs/>
          <w:szCs w:val="22"/>
        </w:rPr>
      </w:pPr>
      <w:r w:rsidRPr="005113BD">
        <w:rPr>
          <w:rFonts w:cs="Arial"/>
          <w:bCs/>
          <w:szCs w:val="22"/>
        </w:rPr>
        <w:t>(dopustna odstopanja od načrtovanih rešitev)</w:t>
      </w:r>
    </w:p>
    <w:p w:rsidR="00610BD6" w:rsidRPr="005113BD" w:rsidRDefault="00610BD6" w:rsidP="00610BD6">
      <w:pPr>
        <w:jc w:val="both"/>
        <w:rPr>
          <w:rFonts w:cs="Arial"/>
          <w:b/>
          <w:bCs/>
          <w:szCs w:val="22"/>
        </w:rPr>
      </w:pPr>
    </w:p>
    <w:p w:rsidR="00610BD6" w:rsidRPr="005113BD" w:rsidRDefault="00610BD6" w:rsidP="00610BD6">
      <w:pPr>
        <w:jc w:val="both"/>
        <w:outlineLvl w:val="0"/>
        <w:rPr>
          <w:rFonts w:cs="Arial"/>
          <w:szCs w:val="22"/>
        </w:rPr>
      </w:pPr>
      <w:r w:rsidRPr="005113BD">
        <w:rPr>
          <w:rFonts w:cs="Arial"/>
          <w:szCs w:val="22"/>
        </w:rPr>
        <w:t>(1) Dopustna odstopanja tlorisnih gabaritov objektov:</w:t>
      </w:r>
    </w:p>
    <w:p w:rsidR="00610BD6" w:rsidRPr="005113BD" w:rsidRDefault="00610BD6" w:rsidP="00610BD6">
      <w:pPr>
        <w:pStyle w:val="Telobesedila2"/>
        <w:numPr>
          <w:ilvl w:val="0"/>
          <w:numId w:val="5"/>
        </w:numPr>
        <w:tabs>
          <w:tab w:val="clear" w:pos="7560"/>
          <w:tab w:val="left" w:pos="0"/>
        </w:tabs>
        <w:ind w:left="284" w:hanging="284"/>
        <w:rPr>
          <w:rFonts w:cs="Arial"/>
          <w:szCs w:val="22"/>
        </w:rPr>
      </w:pPr>
      <w:r w:rsidRPr="005113BD">
        <w:rPr>
          <w:rFonts w:cs="Arial"/>
          <w:szCs w:val="22"/>
        </w:rPr>
        <w:t>tlorisni gabariti stavb lahko odstopajo od +3,00 m do -6,00 m.</w:t>
      </w:r>
    </w:p>
    <w:p w:rsidR="00610BD6" w:rsidRPr="005113BD" w:rsidRDefault="00610BD6" w:rsidP="00610BD6">
      <w:pPr>
        <w:pStyle w:val="Telobesedila2"/>
        <w:numPr>
          <w:ilvl w:val="0"/>
          <w:numId w:val="5"/>
        </w:numPr>
        <w:tabs>
          <w:tab w:val="clear" w:pos="7560"/>
        </w:tabs>
        <w:ind w:left="284" w:hanging="284"/>
        <w:rPr>
          <w:rFonts w:cs="Arial"/>
          <w:szCs w:val="22"/>
        </w:rPr>
      </w:pPr>
      <w:r w:rsidRPr="005113BD">
        <w:rPr>
          <w:rFonts w:cs="Arial"/>
          <w:szCs w:val="22"/>
        </w:rPr>
        <w:t xml:space="preserve">ne glede na določene tlorisne gabarite, je dopustno izvesti nadstrešnice, ki ne smejo presegati širine 6,00 m. </w:t>
      </w:r>
    </w:p>
    <w:p w:rsidR="00610BD6" w:rsidRPr="005113BD" w:rsidRDefault="00610BD6" w:rsidP="00610BD6">
      <w:pPr>
        <w:pStyle w:val="Telobesedila2"/>
        <w:tabs>
          <w:tab w:val="clear" w:pos="7560"/>
        </w:tabs>
        <w:rPr>
          <w:rFonts w:cs="Arial"/>
          <w:szCs w:val="22"/>
        </w:rPr>
      </w:pPr>
      <w:r w:rsidRPr="005113BD">
        <w:rPr>
          <w:rFonts w:cs="Arial"/>
          <w:szCs w:val="22"/>
        </w:rPr>
        <w:t>(2) Dopustna je izvedba vmesnih pozidav na nivoju terena med objektoma 2 in 3a ter med objektoma 5 in 6a, a le pod pogojem, da se zagotovi potrebno število parkirnih mest znotraj posamezne prostorske enote ter da se ustrezno uredijo dostopne poti in površine za potrebe dostave in intervencije.</w:t>
      </w:r>
    </w:p>
    <w:p w:rsidR="00610BD6" w:rsidRPr="005113BD" w:rsidRDefault="00610BD6" w:rsidP="00610BD6">
      <w:pPr>
        <w:jc w:val="both"/>
        <w:outlineLvl w:val="0"/>
        <w:rPr>
          <w:rFonts w:cs="Arial"/>
          <w:szCs w:val="22"/>
        </w:rPr>
      </w:pPr>
      <w:r w:rsidRPr="005113BD">
        <w:rPr>
          <w:rFonts w:cs="Arial"/>
          <w:szCs w:val="22"/>
        </w:rPr>
        <w:t>(3) Dopustna odstopanja višinskih gabaritov objektov:</w:t>
      </w:r>
    </w:p>
    <w:p w:rsidR="00610BD6" w:rsidRPr="005113BD" w:rsidRDefault="00610BD6" w:rsidP="00610BD6">
      <w:pPr>
        <w:pStyle w:val="Telobesedila2"/>
        <w:numPr>
          <w:ilvl w:val="0"/>
          <w:numId w:val="6"/>
        </w:numPr>
        <w:tabs>
          <w:tab w:val="clear" w:pos="7560"/>
        </w:tabs>
        <w:ind w:left="284" w:hanging="284"/>
        <w:rPr>
          <w:rFonts w:cs="Arial"/>
          <w:szCs w:val="22"/>
        </w:rPr>
      </w:pPr>
      <w:r w:rsidRPr="005113BD">
        <w:rPr>
          <w:rFonts w:cs="Arial"/>
          <w:szCs w:val="22"/>
        </w:rPr>
        <w:t>višinski gabariti vseh predvidenih objektov lahko odstopajo do – 6,00 m.</w:t>
      </w:r>
    </w:p>
    <w:p w:rsidR="00610BD6" w:rsidRPr="005113BD" w:rsidRDefault="00610BD6" w:rsidP="00610BD6">
      <w:pPr>
        <w:jc w:val="both"/>
        <w:outlineLvl w:val="0"/>
        <w:rPr>
          <w:rFonts w:cs="Arial"/>
          <w:szCs w:val="22"/>
        </w:rPr>
      </w:pPr>
      <w:r w:rsidRPr="005113BD">
        <w:rPr>
          <w:rFonts w:cs="Arial"/>
          <w:szCs w:val="22"/>
        </w:rPr>
        <w:t>(4) Dopustna odstopanja višinskih kot pritličij objektov in terena:.</w:t>
      </w:r>
    </w:p>
    <w:p w:rsidR="00610BD6" w:rsidRPr="005113BD" w:rsidRDefault="00610BD6" w:rsidP="00610BD6">
      <w:pPr>
        <w:numPr>
          <w:ilvl w:val="0"/>
          <w:numId w:val="7"/>
        </w:numPr>
        <w:ind w:left="360" w:hanging="284"/>
        <w:jc w:val="both"/>
        <w:outlineLvl w:val="0"/>
        <w:rPr>
          <w:rFonts w:cs="Arial"/>
          <w:szCs w:val="22"/>
        </w:rPr>
      </w:pPr>
      <w:r w:rsidRPr="005113BD">
        <w:rPr>
          <w:rFonts w:cs="Arial"/>
          <w:szCs w:val="22"/>
        </w:rPr>
        <w:t>od + 0,50 m do -0,50 m lahko odstopajo višinske kote pritličij objektov in terena.</w:t>
      </w:r>
    </w:p>
    <w:p w:rsidR="00610BD6" w:rsidRPr="005113BD" w:rsidRDefault="00610BD6" w:rsidP="00610BD6">
      <w:pPr>
        <w:jc w:val="both"/>
        <w:outlineLvl w:val="0"/>
        <w:rPr>
          <w:rFonts w:cs="Arial"/>
          <w:szCs w:val="22"/>
        </w:rPr>
      </w:pPr>
      <w:r w:rsidRPr="005113BD">
        <w:rPr>
          <w:rFonts w:cs="Arial"/>
          <w:szCs w:val="22"/>
        </w:rPr>
        <w:t xml:space="preserve">(5) Dopustna je izvedba kleti, skladno s pogoji </w:t>
      </w:r>
      <w:proofErr w:type="spellStart"/>
      <w:r w:rsidRPr="005113BD">
        <w:rPr>
          <w:rFonts w:cs="Arial"/>
          <w:szCs w:val="22"/>
        </w:rPr>
        <w:t>geotehničnega</w:t>
      </w:r>
      <w:proofErr w:type="spellEnd"/>
      <w:r w:rsidRPr="005113BD">
        <w:rPr>
          <w:rFonts w:cs="Arial"/>
          <w:szCs w:val="22"/>
        </w:rPr>
        <w:t xml:space="preserve"> elaborata.</w:t>
      </w:r>
    </w:p>
    <w:p w:rsidR="00610BD6" w:rsidRPr="005113BD" w:rsidRDefault="00610BD6" w:rsidP="00610BD6">
      <w:pPr>
        <w:jc w:val="both"/>
        <w:rPr>
          <w:rFonts w:cs="Arial"/>
          <w:szCs w:val="22"/>
        </w:rPr>
      </w:pPr>
      <w:r w:rsidRPr="005113BD">
        <w:rPr>
          <w:rFonts w:cs="Arial"/>
          <w:szCs w:val="22"/>
        </w:rPr>
        <w:t>(6) Izjemoma so dopustne spremembe prometnih ureditev in tras posameznih komunalnih vodov, objektov, naprav ter priključkov zaradi ustreznejše oskrbe in racionalnejše izrabe prostora pod pogojem, da so ureditve v soglasju z njihovimi upravljavci in skladne z njihovimi programi.</w:t>
      </w:r>
    </w:p>
    <w:p w:rsidR="00610BD6" w:rsidRPr="005113BD" w:rsidRDefault="00610BD6" w:rsidP="00610BD6">
      <w:pPr>
        <w:jc w:val="both"/>
        <w:rPr>
          <w:rFonts w:cs="Arial"/>
          <w:szCs w:val="22"/>
        </w:rPr>
      </w:pPr>
      <w:r w:rsidRPr="005113BD">
        <w:rPr>
          <w:rFonts w:cs="Arial"/>
          <w:szCs w:val="22"/>
        </w:rPr>
        <w:t>(7) Dopustna so odstopanja od mej in površin parcel, namenjenih gradnji objektov, pod pogojem, da ni posegov v površine, namenjene javnemu dobrem.</w:t>
      </w:r>
    </w:p>
    <w:p w:rsidR="00610BD6" w:rsidRPr="005113BD" w:rsidRDefault="00610BD6" w:rsidP="00610BD6">
      <w:pPr>
        <w:tabs>
          <w:tab w:val="left" w:pos="567"/>
        </w:tabs>
        <w:jc w:val="both"/>
        <w:rPr>
          <w:rFonts w:cs="Arial"/>
          <w:szCs w:val="22"/>
        </w:rPr>
      </w:pPr>
      <w:r w:rsidRPr="005113BD">
        <w:rPr>
          <w:rFonts w:cs="Arial"/>
          <w:szCs w:val="22"/>
        </w:rPr>
        <w:t>(8) Dopustne so spremembe zunanje ureditve na podlagi celovite arhitekturne rešitve.</w:t>
      </w:r>
    </w:p>
    <w:p w:rsidR="00610BD6" w:rsidRPr="005113BD" w:rsidRDefault="00610BD6" w:rsidP="00610BD6">
      <w:pPr>
        <w:spacing w:line="260" w:lineRule="atLeast"/>
        <w:jc w:val="both"/>
        <w:rPr>
          <w:rFonts w:cs="Arial"/>
          <w:szCs w:val="22"/>
        </w:rPr>
      </w:pPr>
      <w:r w:rsidRPr="005113BD">
        <w:rPr>
          <w:rFonts w:cs="Arial"/>
          <w:szCs w:val="22"/>
        </w:rPr>
        <w:t xml:space="preserve">(9) Dopustna so odstopanja točk obodne parcelacije in </w:t>
      </w:r>
      <w:proofErr w:type="spellStart"/>
      <w:r w:rsidRPr="005113BD">
        <w:rPr>
          <w:rFonts w:cs="Arial"/>
          <w:szCs w:val="22"/>
        </w:rPr>
        <w:t>zakoličbene</w:t>
      </w:r>
      <w:proofErr w:type="spellEnd"/>
      <w:r w:rsidRPr="005113BD">
        <w:rPr>
          <w:rFonts w:cs="Arial"/>
          <w:szCs w:val="22"/>
        </w:rPr>
        <w:t xml:space="preserve"> točke objektov, skladno s spremembami mej parcel in v okviru toleranc tlorisnih gabaritov objektov.</w:t>
      </w:r>
    </w:p>
    <w:p w:rsidR="00610BD6" w:rsidRPr="005113BD" w:rsidRDefault="00610BD6" w:rsidP="00610BD6">
      <w:pPr>
        <w:jc w:val="center"/>
        <w:rPr>
          <w:rFonts w:cs="Arial"/>
          <w:szCs w:val="22"/>
        </w:rPr>
      </w:pPr>
    </w:p>
    <w:p w:rsidR="00610BD6" w:rsidRPr="005113BD" w:rsidRDefault="00610BD6" w:rsidP="00610BD6">
      <w:pPr>
        <w:jc w:val="center"/>
        <w:rPr>
          <w:rFonts w:cs="Arial"/>
          <w:bCs/>
          <w:szCs w:val="22"/>
        </w:rPr>
      </w:pPr>
      <w:r w:rsidRPr="005113BD">
        <w:rPr>
          <w:rFonts w:cs="Arial"/>
          <w:bCs/>
          <w:szCs w:val="22"/>
        </w:rPr>
        <w:t>55. člen</w:t>
      </w:r>
    </w:p>
    <w:p w:rsidR="00610BD6" w:rsidRPr="005113BD" w:rsidRDefault="00610BD6" w:rsidP="00610BD6">
      <w:pPr>
        <w:jc w:val="center"/>
        <w:rPr>
          <w:rFonts w:cs="Arial"/>
          <w:bCs/>
          <w:szCs w:val="22"/>
        </w:rPr>
      </w:pPr>
      <w:r w:rsidRPr="005113BD">
        <w:rPr>
          <w:rFonts w:cs="Arial"/>
          <w:bCs/>
          <w:szCs w:val="22"/>
        </w:rPr>
        <w:t>(obveznosti investitorja in izvajalcev)</w:t>
      </w:r>
    </w:p>
    <w:p w:rsidR="00610BD6" w:rsidRPr="005113BD" w:rsidRDefault="00610BD6" w:rsidP="00610BD6">
      <w:pPr>
        <w:jc w:val="both"/>
        <w:rPr>
          <w:rFonts w:cs="Arial"/>
          <w:b/>
          <w:bCs/>
          <w:szCs w:val="22"/>
        </w:rPr>
      </w:pPr>
    </w:p>
    <w:p w:rsidR="00610BD6" w:rsidRPr="005113BD" w:rsidRDefault="00610BD6" w:rsidP="00610BD6">
      <w:pPr>
        <w:pStyle w:val="Telobesedila"/>
        <w:jc w:val="both"/>
        <w:rPr>
          <w:rFonts w:cs="Arial"/>
          <w:b w:val="0"/>
          <w:szCs w:val="22"/>
        </w:rPr>
      </w:pPr>
      <w:r w:rsidRPr="005113BD">
        <w:rPr>
          <w:rFonts w:cs="Arial"/>
          <w:b w:val="0"/>
          <w:szCs w:val="22"/>
        </w:rPr>
        <w:lastRenderedPageBreak/>
        <w:t>Za zagotavljanje prometne varnosti med gradnjo ter zaradi zagotavljanja kakovosti bivalnega in delavnega okolja med gradnjo in po njej imajo investitor in izvajalci naslednje obveznosti:</w:t>
      </w:r>
    </w:p>
    <w:p w:rsidR="00610BD6" w:rsidRPr="005113BD" w:rsidRDefault="00610BD6" w:rsidP="00610BD6">
      <w:pPr>
        <w:pStyle w:val="Telobesedila"/>
        <w:widowControl w:val="0"/>
        <w:numPr>
          <w:ilvl w:val="0"/>
          <w:numId w:val="8"/>
        </w:numPr>
        <w:tabs>
          <w:tab w:val="clear" w:pos="927"/>
          <w:tab w:val="num" w:pos="220"/>
        </w:tabs>
        <w:ind w:left="220" w:hanging="220"/>
        <w:jc w:val="both"/>
        <w:rPr>
          <w:rFonts w:cs="Arial"/>
          <w:b w:val="0"/>
          <w:szCs w:val="22"/>
        </w:rPr>
      </w:pPr>
      <w:r w:rsidRPr="005113BD">
        <w:rPr>
          <w:rFonts w:cs="Arial"/>
          <w:b w:val="0"/>
          <w:szCs w:val="22"/>
        </w:rPr>
        <w:t xml:space="preserve">zagotoviti morajo nemoteno komunalno oskrbo prek vseh obstoječih infrastrukturnih vodov in naprav; </w:t>
      </w:r>
    </w:p>
    <w:p w:rsidR="00610BD6" w:rsidRPr="005113BD" w:rsidRDefault="00610BD6" w:rsidP="00610BD6">
      <w:pPr>
        <w:pStyle w:val="Telobesedila"/>
        <w:widowControl w:val="0"/>
        <w:numPr>
          <w:ilvl w:val="0"/>
          <w:numId w:val="8"/>
        </w:numPr>
        <w:tabs>
          <w:tab w:val="clear" w:pos="927"/>
          <w:tab w:val="num" w:pos="220"/>
        </w:tabs>
        <w:ind w:left="220" w:hanging="220"/>
        <w:jc w:val="both"/>
        <w:rPr>
          <w:rFonts w:cs="Arial"/>
          <w:b w:val="0"/>
          <w:szCs w:val="22"/>
        </w:rPr>
      </w:pPr>
      <w:r w:rsidRPr="005113BD">
        <w:rPr>
          <w:rFonts w:cs="Arial"/>
          <w:b w:val="0"/>
          <w:szCs w:val="22"/>
        </w:rPr>
        <w:t>infrastrukturne vode je treba takoj obnoviti, če so ob gradnji poškodovani;</w:t>
      </w:r>
    </w:p>
    <w:p w:rsidR="00610BD6" w:rsidRPr="005113BD" w:rsidRDefault="00610BD6" w:rsidP="00610BD6">
      <w:pPr>
        <w:numPr>
          <w:ilvl w:val="0"/>
          <w:numId w:val="8"/>
        </w:numPr>
        <w:tabs>
          <w:tab w:val="clear" w:pos="927"/>
          <w:tab w:val="num" w:pos="220"/>
          <w:tab w:val="left" w:pos="425"/>
          <w:tab w:val="left" w:pos="851"/>
        </w:tabs>
        <w:ind w:left="220" w:hanging="220"/>
        <w:jc w:val="both"/>
        <w:rPr>
          <w:rFonts w:cs="Arial"/>
          <w:szCs w:val="22"/>
        </w:rPr>
      </w:pPr>
      <w:r w:rsidRPr="005113BD">
        <w:rPr>
          <w:rFonts w:cs="Arial"/>
          <w:szCs w:val="22"/>
        </w:rPr>
        <w:t>v času gradnje novih objektov morajo zagotoviti nemoteno delovanje sosednjih objektov in morajo sočasno z gradnjo novih objektov zagotoviti gradnjo oziroma prestavitev vseh infrastrukturnih vodov, objektov in naprav, potrebnih za nemoteno delovanje sosednjih objektov;</w:t>
      </w:r>
    </w:p>
    <w:p w:rsidR="00610BD6" w:rsidRPr="005113BD" w:rsidRDefault="00610BD6" w:rsidP="00610BD6">
      <w:pPr>
        <w:widowControl w:val="0"/>
        <w:numPr>
          <w:ilvl w:val="0"/>
          <w:numId w:val="8"/>
        </w:numPr>
        <w:tabs>
          <w:tab w:val="clear" w:pos="927"/>
          <w:tab w:val="num" w:pos="220"/>
          <w:tab w:val="left" w:pos="7920"/>
        </w:tabs>
        <w:ind w:left="220" w:hanging="220"/>
        <w:jc w:val="both"/>
        <w:rPr>
          <w:rFonts w:cs="Arial"/>
          <w:szCs w:val="22"/>
        </w:rPr>
      </w:pPr>
      <w:r w:rsidRPr="005113BD">
        <w:rPr>
          <w:rFonts w:cs="Arial"/>
          <w:szCs w:val="22"/>
        </w:rPr>
        <w:t xml:space="preserve">zagotoviti morajo sanacijo zaradi gradnje poškodovanih objektov, pripadajočih ureditev in naprav; </w:t>
      </w:r>
    </w:p>
    <w:p w:rsidR="00610BD6" w:rsidRPr="005113BD" w:rsidRDefault="00610BD6" w:rsidP="00610BD6">
      <w:pPr>
        <w:widowControl w:val="0"/>
        <w:numPr>
          <w:ilvl w:val="0"/>
          <w:numId w:val="8"/>
        </w:numPr>
        <w:tabs>
          <w:tab w:val="clear" w:pos="927"/>
          <w:tab w:val="num" w:pos="220"/>
          <w:tab w:val="left" w:pos="7920"/>
        </w:tabs>
        <w:ind w:left="220" w:hanging="220"/>
        <w:jc w:val="both"/>
        <w:rPr>
          <w:rFonts w:cs="Arial"/>
          <w:szCs w:val="22"/>
        </w:rPr>
      </w:pPr>
      <w:r w:rsidRPr="005113BD">
        <w:rPr>
          <w:rFonts w:cs="Arial"/>
          <w:szCs w:val="22"/>
        </w:rPr>
        <w:t>v času gradnje morajo zagotoviti ustrezen strokovni nadzor;</w:t>
      </w:r>
    </w:p>
    <w:p w:rsidR="00610BD6" w:rsidRPr="005113BD" w:rsidRDefault="00610BD6" w:rsidP="00610BD6">
      <w:pPr>
        <w:pStyle w:val="Telobesedila"/>
        <w:widowControl w:val="0"/>
        <w:numPr>
          <w:ilvl w:val="0"/>
          <w:numId w:val="8"/>
        </w:numPr>
        <w:tabs>
          <w:tab w:val="clear" w:pos="927"/>
          <w:tab w:val="num" w:pos="220"/>
          <w:tab w:val="left" w:pos="284"/>
        </w:tabs>
        <w:ind w:left="220" w:hanging="220"/>
        <w:jc w:val="both"/>
        <w:rPr>
          <w:rFonts w:cs="Arial"/>
          <w:b w:val="0"/>
          <w:szCs w:val="22"/>
        </w:rPr>
      </w:pPr>
      <w:r w:rsidRPr="005113BD">
        <w:rPr>
          <w:rFonts w:cs="Arial"/>
          <w:b w:val="0"/>
          <w:szCs w:val="22"/>
        </w:rPr>
        <w:t>promet v času gradnje morajo organizirati tako, da se prometna varnost zaradi gradnje ne poslabša in da ne prihaja do zastojev na obstoječem cestnem omrežju;</w:t>
      </w:r>
    </w:p>
    <w:p w:rsidR="00610BD6" w:rsidRPr="005113BD" w:rsidRDefault="00610BD6" w:rsidP="00610BD6">
      <w:pPr>
        <w:pStyle w:val="Telobesedila"/>
        <w:widowControl w:val="0"/>
        <w:numPr>
          <w:ilvl w:val="0"/>
          <w:numId w:val="8"/>
        </w:numPr>
        <w:tabs>
          <w:tab w:val="clear" w:pos="927"/>
          <w:tab w:val="num" w:pos="220"/>
        </w:tabs>
        <w:ind w:left="220" w:hanging="220"/>
        <w:jc w:val="both"/>
        <w:rPr>
          <w:rFonts w:cs="Arial"/>
          <w:b w:val="0"/>
          <w:szCs w:val="22"/>
        </w:rPr>
      </w:pPr>
      <w:r w:rsidRPr="005113BD">
        <w:rPr>
          <w:rFonts w:cs="Arial"/>
          <w:b w:val="0"/>
          <w:szCs w:val="22"/>
        </w:rPr>
        <w:t>v času gradnje ne smejo biti prekoračene kritične ravni hrupa, predpisane za IV. stopnjo varovanja pred hrupom;</w:t>
      </w:r>
    </w:p>
    <w:p w:rsidR="00610BD6" w:rsidRPr="005113BD" w:rsidRDefault="00610BD6" w:rsidP="00610BD6">
      <w:pPr>
        <w:widowControl w:val="0"/>
        <w:numPr>
          <w:ilvl w:val="0"/>
          <w:numId w:val="8"/>
        </w:numPr>
        <w:tabs>
          <w:tab w:val="clear" w:pos="927"/>
          <w:tab w:val="num" w:pos="220"/>
          <w:tab w:val="left" w:pos="7920"/>
        </w:tabs>
        <w:ind w:left="220" w:hanging="220"/>
        <w:jc w:val="both"/>
        <w:rPr>
          <w:rFonts w:cs="Arial"/>
          <w:szCs w:val="22"/>
        </w:rPr>
      </w:pPr>
      <w:r w:rsidRPr="005113BD">
        <w:rPr>
          <w:rFonts w:cs="Arial"/>
          <w:szCs w:val="22"/>
        </w:rPr>
        <w:t>zagotoviti morajo naročilo za prevzem gradbenih odpadkov, preden se začnejo izvajati gradbena dela.</w:t>
      </w:r>
    </w:p>
    <w:p w:rsidR="00610BD6" w:rsidRPr="005113BD" w:rsidRDefault="00610BD6" w:rsidP="00610BD6">
      <w:pPr>
        <w:pStyle w:val="Telobesedila"/>
        <w:jc w:val="both"/>
        <w:rPr>
          <w:rFonts w:cs="Arial"/>
          <w:szCs w:val="22"/>
        </w:rPr>
      </w:pPr>
    </w:p>
    <w:p w:rsidR="00610BD6" w:rsidRPr="005113BD" w:rsidRDefault="00610BD6" w:rsidP="00C67FA6">
      <w:pPr>
        <w:tabs>
          <w:tab w:val="left" w:pos="426"/>
        </w:tabs>
        <w:ind w:left="400" w:hanging="400"/>
        <w:jc w:val="both"/>
        <w:rPr>
          <w:rFonts w:cs="Arial"/>
          <w:szCs w:val="22"/>
        </w:rPr>
      </w:pPr>
      <w:r w:rsidRPr="005113BD">
        <w:rPr>
          <w:rFonts w:cs="Arial"/>
          <w:szCs w:val="22"/>
        </w:rPr>
        <w:t>XII.</w:t>
      </w:r>
      <w:r w:rsidRPr="005113BD">
        <w:rPr>
          <w:rFonts w:cs="Arial"/>
          <w:szCs w:val="22"/>
        </w:rPr>
        <w:tab/>
        <w:t xml:space="preserve">USMERITVE </w:t>
      </w:r>
      <w:r w:rsidRPr="005113BD">
        <w:rPr>
          <w:rFonts w:cs="Arial"/>
          <w:caps/>
          <w:szCs w:val="22"/>
        </w:rPr>
        <w:t>za določitev meril in pogojev po prenehanju veljavnosti</w:t>
      </w:r>
      <w:r w:rsidRPr="005113BD">
        <w:rPr>
          <w:rFonts w:cs="Arial"/>
          <w:szCs w:val="22"/>
        </w:rPr>
        <w:t xml:space="preserve"> OPPN </w:t>
      </w:r>
    </w:p>
    <w:p w:rsidR="00610BD6" w:rsidRPr="005113BD" w:rsidRDefault="00610BD6" w:rsidP="00610BD6">
      <w:pPr>
        <w:ind w:left="400" w:hanging="400"/>
        <w:jc w:val="center"/>
        <w:rPr>
          <w:rFonts w:cs="Arial"/>
          <w:szCs w:val="22"/>
        </w:rPr>
      </w:pPr>
      <w:r w:rsidRPr="005113BD">
        <w:rPr>
          <w:rFonts w:cs="Arial"/>
          <w:szCs w:val="22"/>
        </w:rPr>
        <w:t>56. člen</w:t>
      </w:r>
    </w:p>
    <w:p w:rsidR="00610BD6" w:rsidRPr="005113BD" w:rsidRDefault="00610BD6" w:rsidP="00610BD6">
      <w:pPr>
        <w:ind w:left="400" w:hanging="400"/>
        <w:jc w:val="center"/>
        <w:rPr>
          <w:rFonts w:cs="Arial"/>
          <w:szCs w:val="22"/>
        </w:rPr>
      </w:pPr>
      <w:r w:rsidRPr="005113BD">
        <w:rPr>
          <w:rFonts w:cs="Arial"/>
          <w:szCs w:val="22"/>
        </w:rPr>
        <w:t>(usmeritve za določitev meril in pogojev po prenehanju veljavnosti OPPN)</w:t>
      </w:r>
    </w:p>
    <w:p w:rsidR="00610BD6" w:rsidRPr="005113BD" w:rsidRDefault="00610BD6" w:rsidP="00610BD6">
      <w:pPr>
        <w:ind w:left="400" w:hanging="400"/>
        <w:jc w:val="both"/>
        <w:rPr>
          <w:rFonts w:cs="Arial"/>
          <w:b/>
          <w:szCs w:val="22"/>
        </w:rPr>
      </w:pPr>
    </w:p>
    <w:p w:rsidR="00610BD6" w:rsidRPr="005113BD" w:rsidRDefault="00610BD6" w:rsidP="00610BD6">
      <w:pPr>
        <w:tabs>
          <w:tab w:val="left" w:pos="7920"/>
        </w:tabs>
        <w:jc w:val="both"/>
        <w:rPr>
          <w:rFonts w:cs="Arial"/>
          <w:szCs w:val="22"/>
        </w:rPr>
      </w:pPr>
      <w:r w:rsidRPr="005113BD">
        <w:rPr>
          <w:rFonts w:cs="Arial"/>
          <w:szCs w:val="22"/>
        </w:rPr>
        <w:t>Po izvedbi z OPPN predvidenih ureditev oziroma po prenehanju veljavnosti OPPN so dopustni naslednji posegi:</w:t>
      </w:r>
    </w:p>
    <w:p w:rsidR="00610BD6" w:rsidRPr="005113BD" w:rsidRDefault="00610BD6" w:rsidP="00610BD6">
      <w:pPr>
        <w:widowControl w:val="0"/>
        <w:numPr>
          <w:ilvl w:val="0"/>
          <w:numId w:val="9"/>
        </w:numPr>
        <w:tabs>
          <w:tab w:val="clear" w:pos="927"/>
          <w:tab w:val="num" w:pos="220"/>
          <w:tab w:val="left" w:pos="7920"/>
        </w:tabs>
        <w:ind w:left="220" w:hanging="220"/>
        <w:jc w:val="both"/>
        <w:rPr>
          <w:rFonts w:cs="Arial"/>
          <w:szCs w:val="22"/>
        </w:rPr>
      </w:pPr>
      <w:r w:rsidRPr="005113BD">
        <w:rPr>
          <w:rFonts w:cs="Arial"/>
          <w:szCs w:val="22"/>
        </w:rPr>
        <w:t>redna in investicijsko – vzdrževalna dela in rekonstrukcije, s katerimi se ne spreminjata zunanji gabarit objektov in konstrukcijska zasnova stavb;</w:t>
      </w:r>
    </w:p>
    <w:p w:rsidR="00610BD6" w:rsidRPr="005113BD" w:rsidRDefault="00610BD6" w:rsidP="00610BD6">
      <w:pPr>
        <w:widowControl w:val="0"/>
        <w:numPr>
          <w:ilvl w:val="0"/>
          <w:numId w:val="9"/>
        </w:numPr>
        <w:tabs>
          <w:tab w:val="clear" w:pos="927"/>
          <w:tab w:val="num" w:pos="220"/>
          <w:tab w:val="left" w:pos="7920"/>
        </w:tabs>
        <w:ind w:left="220" w:hanging="220"/>
        <w:jc w:val="both"/>
        <w:rPr>
          <w:rFonts w:cs="Arial"/>
          <w:szCs w:val="22"/>
        </w:rPr>
      </w:pPr>
      <w:r w:rsidRPr="005113BD">
        <w:rPr>
          <w:rFonts w:cs="Arial"/>
          <w:szCs w:val="22"/>
        </w:rPr>
        <w:t>obnove fasadnega plašča objektov pod pogojem, da se pri oblikovanju fasad ohranijo oblikovne lastnosti fasad objektov, zgrajenih v prostorski enoti;</w:t>
      </w:r>
    </w:p>
    <w:p w:rsidR="00610BD6" w:rsidRPr="005113BD" w:rsidRDefault="00610BD6" w:rsidP="00610BD6">
      <w:pPr>
        <w:widowControl w:val="0"/>
        <w:numPr>
          <w:ilvl w:val="0"/>
          <w:numId w:val="9"/>
        </w:numPr>
        <w:tabs>
          <w:tab w:val="clear" w:pos="927"/>
          <w:tab w:val="num" w:pos="220"/>
          <w:tab w:val="left" w:pos="7920"/>
        </w:tabs>
        <w:ind w:left="220" w:hanging="220"/>
        <w:jc w:val="both"/>
        <w:rPr>
          <w:rFonts w:cs="Arial"/>
          <w:szCs w:val="22"/>
        </w:rPr>
      </w:pPr>
      <w:r w:rsidRPr="005113BD">
        <w:rPr>
          <w:rFonts w:cs="Arial"/>
          <w:szCs w:val="22"/>
        </w:rPr>
        <w:t>postavitve enostavnih in nezahtevnih objektov, ki so dopustni v območju OPPN;</w:t>
      </w:r>
    </w:p>
    <w:p w:rsidR="00610BD6" w:rsidRPr="005113BD" w:rsidRDefault="00610BD6" w:rsidP="00610BD6">
      <w:pPr>
        <w:widowControl w:val="0"/>
        <w:numPr>
          <w:ilvl w:val="0"/>
          <w:numId w:val="9"/>
        </w:numPr>
        <w:tabs>
          <w:tab w:val="clear" w:pos="927"/>
          <w:tab w:val="num" w:pos="220"/>
          <w:tab w:val="left" w:pos="7920"/>
        </w:tabs>
        <w:ind w:left="220" w:hanging="220"/>
        <w:jc w:val="both"/>
        <w:rPr>
          <w:rFonts w:cs="Arial"/>
          <w:szCs w:val="22"/>
        </w:rPr>
      </w:pPr>
      <w:r w:rsidRPr="005113BD">
        <w:rPr>
          <w:rFonts w:cs="Arial"/>
          <w:szCs w:val="22"/>
        </w:rPr>
        <w:t>spremembe namembnosti v okviru dejavnosti, ki so dopustne za novogradnje na območju OPPN ob pogoju, da je zagotovljeno zadostno število parkirnih mest.</w:t>
      </w:r>
    </w:p>
    <w:p w:rsidR="00610BD6" w:rsidRPr="005113BD" w:rsidRDefault="00610BD6" w:rsidP="00610BD6">
      <w:pPr>
        <w:jc w:val="both"/>
        <w:rPr>
          <w:rFonts w:cs="Arial"/>
          <w:b/>
          <w:bCs/>
          <w:szCs w:val="22"/>
        </w:rPr>
      </w:pPr>
    </w:p>
    <w:p w:rsidR="00610BD6" w:rsidRPr="005113BD" w:rsidRDefault="00610BD6" w:rsidP="00C67FA6">
      <w:pPr>
        <w:jc w:val="both"/>
        <w:rPr>
          <w:rFonts w:cs="Arial"/>
          <w:bCs/>
          <w:szCs w:val="22"/>
        </w:rPr>
      </w:pPr>
      <w:r w:rsidRPr="005113BD">
        <w:rPr>
          <w:rFonts w:cs="Arial"/>
          <w:bCs/>
          <w:szCs w:val="22"/>
        </w:rPr>
        <w:t>XIII. KONČNE DOLOČBE</w:t>
      </w:r>
    </w:p>
    <w:p w:rsidR="00610BD6" w:rsidRPr="005113BD" w:rsidRDefault="00610BD6" w:rsidP="00610BD6">
      <w:pPr>
        <w:jc w:val="center"/>
        <w:rPr>
          <w:rFonts w:cs="Arial"/>
          <w:bCs/>
          <w:szCs w:val="22"/>
        </w:rPr>
      </w:pPr>
      <w:r w:rsidRPr="005113BD">
        <w:rPr>
          <w:rFonts w:cs="Arial"/>
          <w:bCs/>
          <w:szCs w:val="22"/>
        </w:rPr>
        <w:t>57. člen</w:t>
      </w:r>
    </w:p>
    <w:p w:rsidR="00610BD6" w:rsidRPr="005113BD" w:rsidRDefault="00610BD6" w:rsidP="00610BD6">
      <w:pPr>
        <w:jc w:val="center"/>
        <w:rPr>
          <w:rFonts w:cs="Arial"/>
          <w:bCs/>
          <w:szCs w:val="22"/>
        </w:rPr>
      </w:pPr>
      <w:r w:rsidRPr="005113BD">
        <w:rPr>
          <w:rFonts w:cs="Arial"/>
          <w:bCs/>
          <w:szCs w:val="22"/>
        </w:rPr>
        <w:t>(vpogled OPPN)</w:t>
      </w:r>
    </w:p>
    <w:p w:rsidR="00610BD6" w:rsidRPr="005113BD" w:rsidRDefault="00610BD6" w:rsidP="00610BD6">
      <w:pPr>
        <w:jc w:val="both"/>
        <w:rPr>
          <w:rFonts w:cs="Arial"/>
          <w:bCs/>
          <w:szCs w:val="22"/>
        </w:rPr>
      </w:pPr>
    </w:p>
    <w:p w:rsidR="00610BD6" w:rsidRPr="005113BD" w:rsidRDefault="00610BD6" w:rsidP="00610BD6">
      <w:pPr>
        <w:jc w:val="both"/>
        <w:rPr>
          <w:rFonts w:cs="Arial"/>
          <w:szCs w:val="22"/>
        </w:rPr>
      </w:pPr>
      <w:r w:rsidRPr="005113BD">
        <w:rPr>
          <w:rFonts w:cs="Arial"/>
          <w:szCs w:val="22"/>
        </w:rPr>
        <w:t>OPPN je stalno na vpogled na Občini Vrhnika, oddelku, pristojnem za urejanje prostora.</w:t>
      </w:r>
    </w:p>
    <w:p w:rsidR="00610BD6" w:rsidRPr="005113BD" w:rsidRDefault="00610BD6" w:rsidP="00610BD6">
      <w:pPr>
        <w:pStyle w:val="Telobesedila2"/>
        <w:rPr>
          <w:rFonts w:cs="Arial"/>
          <w:szCs w:val="22"/>
        </w:rPr>
      </w:pPr>
    </w:p>
    <w:p w:rsidR="00610BD6" w:rsidRPr="005113BD" w:rsidRDefault="00610BD6" w:rsidP="00610BD6">
      <w:pPr>
        <w:jc w:val="center"/>
        <w:rPr>
          <w:rFonts w:cs="Arial"/>
          <w:bCs/>
          <w:szCs w:val="22"/>
        </w:rPr>
      </w:pPr>
      <w:r w:rsidRPr="005113BD">
        <w:rPr>
          <w:rFonts w:cs="Arial"/>
          <w:bCs/>
          <w:szCs w:val="22"/>
        </w:rPr>
        <w:t>58. člen</w:t>
      </w:r>
    </w:p>
    <w:p w:rsidR="00610BD6" w:rsidRPr="005113BD" w:rsidRDefault="00610BD6" w:rsidP="00610BD6">
      <w:pPr>
        <w:jc w:val="center"/>
        <w:rPr>
          <w:rFonts w:cs="Arial"/>
          <w:bCs/>
          <w:szCs w:val="22"/>
        </w:rPr>
      </w:pPr>
      <w:r w:rsidRPr="005113BD">
        <w:rPr>
          <w:rFonts w:cs="Arial"/>
          <w:bCs/>
          <w:szCs w:val="22"/>
        </w:rPr>
        <w:t>(inšpekcijski nadzor)</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Nadzor nad izvajanjem tega odloka izvajajo pristojne inšpekcijske službe.</w:t>
      </w:r>
    </w:p>
    <w:p w:rsidR="00610BD6" w:rsidRPr="005113BD" w:rsidRDefault="00610BD6" w:rsidP="00610BD6">
      <w:pPr>
        <w:jc w:val="both"/>
        <w:rPr>
          <w:rFonts w:cs="Arial"/>
          <w:szCs w:val="22"/>
        </w:rPr>
      </w:pPr>
    </w:p>
    <w:p w:rsidR="00610BD6" w:rsidRPr="005113BD" w:rsidRDefault="00610BD6" w:rsidP="00610BD6">
      <w:pPr>
        <w:jc w:val="center"/>
        <w:rPr>
          <w:rFonts w:cs="Arial"/>
          <w:bCs/>
          <w:szCs w:val="22"/>
        </w:rPr>
      </w:pPr>
      <w:r w:rsidRPr="005113BD">
        <w:rPr>
          <w:rFonts w:cs="Arial"/>
          <w:bCs/>
          <w:szCs w:val="22"/>
        </w:rPr>
        <w:t>59. člen</w:t>
      </w:r>
    </w:p>
    <w:p w:rsidR="00610BD6" w:rsidRPr="005113BD" w:rsidRDefault="00610BD6" w:rsidP="00610BD6">
      <w:pPr>
        <w:jc w:val="center"/>
        <w:rPr>
          <w:rFonts w:cs="Arial"/>
          <w:bCs/>
          <w:szCs w:val="22"/>
        </w:rPr>
      </w:pPr>
      <w:r w:rsidRPr="005113BD">
        <w:rPr>
          <w:rFonts w:cs="Arial"/>
          <w:bCs/>
          <w:szCs w:val="22"/>
        </w:rPr>
        <w:t>(pričetek veljavnosti)</w:t>
      </w:r>
    </w:p>
    <w:p w:rsidR="00610BD6" w:rsidRPr="005113BD" w:rsidRDefault="00610BD6" w:rsidP="00610BD6">
      <w:pPr>
        <w:jc w:val="both"/>
        <w:rPr>
          <w:rFonts w:cs="Arial"/>
          <w:szCs w:val="22"/>
        </w:rPr>
      </w:pPr>
    </w:p>
    <w:p w:rsidR="00610BD6" w:rsidRPr="005113BD" w:rsidRDefault="00610BD6" w:rsidP="00610BD6">
      <w:pPr>
        <w:jc w:val="both"/>
        <w:rPr>
          <w:rFonts w:cs="Arial"/>
          <w:szCs w:val="22"/>
        </w:rPr>
      </w:pPr>
      <w:r w:rsidRPr="005113BD">
        <w:rPr>
          <w:rFonts w:cs="Arial"/>
          <w:szCs w:val="22"/>
        </w:rPr>
        <w:t>Ta odlok začne veljati petnajsti dan po objavi v uradnem občinskem glasilu Naš časopis.</w:t>
      </w:r>
    </w:p>
    <w:p w:rsidR="00610BD6" w:rsidRPr="005113BD" w:rsidRDefault="00610BD6" w:rsidP="00610BD6">
      <w:pPr>
        <w:pStyle w:val="Telobesedila2"/>
        <w:rPr>
          <w:rFonts w:cs="Arial"/>
          <w:szCs w:val="22"/>
        </w:rPr>
      </w:pPr>
    </w:p>
    <w:p w:rsidR="00610BD6" w:rsidRPr="005113BD" w:rsidRDefault="00610BD6" w:rsidP="00610BD6">
      <w:pPr>
        <w:pStyle w:val="Glava"/>
        <w:tabs>
          <w:tab w:val="clear" w:pos="4536"/>
          <w:tab w:val="clear" w:pos="9072"/>
          <w:tab w:val="left" w:pos="900"/>
        </w:tabs>
        <w:jc w:val="both"/>
        <w:rPr>
          <w:rFonts w:cs="Arial"/>
          <w:szCs w:val="22"/>
        </w:rPr>
      </w:pPr>
      <w:r w:rsidRPr="005113BD">
        <w:rPr>
          <w:rFonts w:cs="Arial"/>
          <w:szCs w:val="22"/>
        </w:rPr>
        <w:t>Številka: 3505-17/2015 (5-01)</w:t>
      </w:r>
    </w:p>
    <w:p w:rsidR="00610BD6" w:rsidRPr="00C67FA6" w:rsidRDefault="00610BD6" w:rsidP="00C67FA6">
      <w:pPr>
        <w:jc w:val="both"/>
        <w:rPr>
          <w:rFonts w:cs="Arial"/>
          <w:szCs w:val="22"/>
        </w:rPr>
      </w:pPr>
      <w:r w:rsidRPr="005113BD">
        <w:rPr>
          <w:rFonts w:cs="Arial"/>
          <w:szCs w:val="22"/>
        </w:rPr>
        <w:t xml:space="preserve">Vrhnika, dne </w:t>
      </w:r>
      <w:r>
        <w:rPr>
          <w:rFonts w:cs="Arial"/>
          <w:szCs w:val="22"/>
        </w:rPr>
        <w:t>15.2.2018</w:t>
      </w:r>
    </w:p>
    <w:tbl>
      <w:tblPr>
        <w:tblpPr w:leftFromText="141" w:rightFromText="141" w:vertAnchor="text" w:horzAnchor="margin" w:tblpXSpec="right" w:tblpY="70"/>
        <w:tblW w:w="0" w:type="auto"/>
        <w:tblLook w:val="01E0" w:firstRow="1" w:lastRow="1" w:firstColumn="1" w:lastColumn="1" w:noHBand="0" w:noVBand="0"/>
      </w:tblPr>
      <w:tblGrid>
        <w:gridCol w:w="4605"/>
      </w:tblGrid>
      <w:tr w:rsidR="00610BD6" w:rsidRPr="005113BD" w:rsidTr="00C67FA6">
        <w:tc>
          <w:tcPr>
            <w:tcW w:w="4605" w:type="dxa"/>
            <w:shd w:val="clear" w:color="auto" w:fill="auto"/>
          </w:tcPr>
          <w:p w:rsidR="00610BD6" w:rsidRPr="005113BD" w:rsidRDefault="00610BD6" w:rsidP="00C67FA6">
            <w:pPr>
              <w:pStyle w:val="Telobesedila"/>
              <w:tabs>
                <w:tab w:val="num" w:pos="540"/>
              </w:tabs>
              <w:jc w:val="center"/>
              <w:rPr>
                <w:b w:val="0"/>
              </w:rPr>
            </w:pPr>
            <w:r w:rsidRPr="005113BD">
              <w:rPr>
                <w:b w:val="0"/>
              </w:rPr>
              <w:t>ŽUPAN</w:t>
            </w:r>
          </w:p>
        </w:tc>
      </w:tr>
      <w:tr w:rsidR="00610BD6" w:rsidRPr="005113BD" w:rsidTr="00C67FA6">
        <w:tc>
          <w:tcPr>
            <w:tcW w:w="4605" w:type="dxa"/>
            <w:shd w:val="clear" w:color="auto" w:fill="auto"/>
          </w:tcPr>
          <w:p w:rsidR="00610BD6" w:rsidRPr="005113BD" w:rsidRDefault="00610BD6" w:rsidP="00C67FA6">
            <w:pPr>
              <w:pStyle w:val="Telobesedila"/>
              <w:tabs>
                <w:tab w:val="num" w:pos="540"/>
              </w:tabs>
              <w:jc w:val="center"/>
              <w:rPr>
                <w:b w:val="0"/>
              </w:rPr>
            </w:pPr>
            <w:r w:rsidRPr="005113BD">
              <w:rPr>
                <w:b w:val="0"/>
              </w:rPr>
              <w:t>OBČINE VRHNIKA</w:t>
            </w:r>
          </w:p>
        </w:tc>
      </w:tr>
      <w:tr w:rsidR="00610BD6" w:rsidRPr="005113BD" w:rsidTr="00C67FA6">
        <w:tc>
          <w:tcPr>
            <w:tcW w:w="4605" w:type="dxa"/>
            <w:shd w:val="clear" w:color="auto" w:fill="auto"/>
          </w:tcPr>
          <w:p w:rsidR="00610BD6" w:rsidRPr="005113BD" w:rsidRDefault="00610BD6" w:rsidP="00C67FA6">
            <w:pPr>
              <w:pStyle w:val="Telobesedila"/>
              <w:tabs>
                <w:tab w:val="num" w:pos="540"/>
              </w:tabs>
              <w:jc w:val="center"/>
              <w:rPr>
                <w:b w:val="0"/>
              </w:rPr>
            </w:pPr>
            <w:r w:rsidRPr="005113BD">
              <w:rPr>
                <w:b w:val="0"/>
              </w:rPr>
              <w:t>Stojan Jakin</w:t>
            </w:r>
            <w:r w:rsidR="00E47E46">
              <w:rPr>
                <w:b w:val="0"/>
              </w:rPr>
              <w:t xml:space="preserve"> l.r.</w:t>
            </w:r>
            <w:bookmarkStart w:id="32" w:name="_GoBack"/>
            <w:bookmarkEnd w:id="32"/>
          </w:p>
        </w:tc>
      </w:tr>
    </w:tbl>
    <w:p w:rsidR="00610BD6" w:rsidRPr="005113BD" w:rsidRDefault="00610BD6" w:rsidP="00C67FA6">
      <w:pPr>
        <w:pStyle w:val="Telobesedila"/>
        <w:tabs>
          <w:tab w:val="num" w:pos="540"/>
        </w:tabs>
        <w:rPr>
          <w:b w:val="0"/>
        </w:rPr>
      </w:pPr>
    </w:p>
    <w:p w:rsidR="00610BD6" w:rsidRPr="005113BD" w:rsidRDefault="00610BD6" w:rsidP="00610BD6">
      <w:pPr>
        <w:jc w:val="center"/>
      </w:pPr>
    </w:p>
    <w:p w:rsidR="00C67FA6" w:rsidRDefault="00C67FA6"/>
    <w:sectPr w:rsidR="00C67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5390"/>
    <w:multiLevelType w:val="hybridMultilevel"/>
    <w:tmpl w:val="BD68E77E"/>
    <w:lvl w:ilvl="0" w:tplc="C7E05D3C">
      <w:numFmt w:val="bullet"/>
      <w:lvlText w:val="-"/>
      <w:lvlJc w:val="left"/>
      <w:pPr>
        <w:tabs>
          <w:tab w:val="num" w:pos="568"/>
        </w:tabs>
        <w:ind w:left="568" w:hanging="284"/>
      </w:pPr>
      <w:rPr>
        <w:rFonts w:ascii="Arial" w:eastAsia="Times New Roman" w:hAnsi="Arial" w:hint="default"/>
      </w:rPr>
    </w:lvl>
    <w:lvl w:ilvl="1" w:tplc="04240003">
      <w:start w:val="1"/>
      <w:numFmt w:val="bullet"/>
      <w:lvlText w:val="o"/>
      <w:lvlJc w:val="left"/>
      <w:pPr>
        <w:tabs>
          <w:tab w:val="num" w:pos="1724"/>
        </w:tabs>
        <w:ind w:left="1724" w:hanging="360"/>
      </w:pPr>
      <w:rPr>
        <w:rFonts w:ascii="Courier New" w:hAnsi="Courier New" w:cs="Courier New" w:hint="default"/>
      </w:rPr>
    </w:lvl>
    <w:lvl w:ilvl="2" w:tplc="04240005">
      <w:start w:val="1"/>
      <w:numFmt w:val="bullet"/>
      <w:lvlText w:val=""/>
      <w:lvlJc w:val="left"/>
      <w:pPr>
        <w:tabs>
          <w:tab w:val="num" w:pos="2444"/>
        </w:tabs>
        <w:ind w:left="2444" w:hanging="360"/>
      </w:pPr>
      <w:rPr>
        <w:rFonts w:ascii="Wingdings" w:hAnsi="Wingdings" w:hint="default"/>
      </w:rPr>
    </w:lvl>
    <w:lvl w:ilvl="3" w:tplc="04240001">
      <w:start w:val="1"/>
      <w:numFmt w:val="bullet"/>
      <w:lvlText w:val=""/>
      <w:lvlJc w:val="left"/>
      <w:pPr>
        <w:tabs>
          <w:tab w:val="num" w:pos="3164"/>
        </w:tabs>
        <w:ind w:left="3164" w:hanging="360"/>
      </w:pPr>
      <w:rPr>
        <w:rFonts w:ascii="Symbol" w:hAnsi="Symbol" w:hint="default"/>
      </w:rPr>
    </w:lvl>
    <w:lvl w:ilvl="4" w:tplc="04240003">
      <w:start w:val="1"/>
      <w:numFmt w:val="bullet"/>
      <w:lvlText w:val="o"/>
      <w:lvlJc w:val="left"/>
      <w:pPr>
        <w:tabs>
          <w:tab w:val="num" w:pos="3884"/>
        </w:tabs>
        <w:ind w:left="3884" w:hanging="360"/>
      </w:pPr>
      <w:rPr>
        <w:rFonts w:ascii="Courier New" w:hAnsi="Courier New" w:cs="Courier New" w:hint="default"/>
      </w:rPr>
    </w:lvl>
    <w:lvl w:ilvl="5" w:tplc="04240005">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1">
    <w:nsid w:val="0E4477F0"/>
    <w:multiLevelType w:val="hybridMultilevel"/>
    <w:tmpl w:val="0212E43A"/>
    <w:lvl w:ilvl="0" w:tplc="C7E05D3C">
      <w:numFmt w:val="bullet"/>
      <w:lvlText w:val="-"/>
      <w:lvlJc w:val="left"/>
      <w:pPr>
        <w:tabs>
          <w:tab w:val="num" w:pos="568"/>
        </w:tabs>
        <w:ind w:left="568" w:hanging="284"/>
      </w:pPr>
      <w:rPr>
        <w:rFonts w:ascii="Arial" w:eastAsia="Times New Roman" w:hAnsi="Arial" w:hint="default"/>
      </w:rPr>
    </w:lvl>
    <w:lvl w:ilvl="1" w:tplc="04240003">
      <w:start w:val="1"/>
      <w:numFmt w:val="bullet"/>
      <w:lvlText w:val="o"/>
      <w:lvlJc w:val="left"/>
      <w:pPr>
        <w:tabs>
          <w:tab w:val="num" w:pos="1724"/>
        </w:tabs>
        <w:ind w:left="1724" w:hanging="360"/>
      </w:pPr>
      <w:rPr>
        <w:rFonts w:ascii="Courier New" w:hAnsi="Courier New" w:cs="Courier New" w:hint="default"/>
      </w:rPr>
    </w:lvl>
    <w:lvl w:ilvl="2" w:tplc="04240005">
      <w:start w:val="1"/>
      <w:numFmt w:val="bullet"/>
      <w:lvlText w:val=""/>
      <w:lvlJc w:val="left"/>
      <w:pPr>
        <w:tabs>
          <w:tab w:val="num" w:pos="2444"/>
        </w:tabs>
        <w:ind w:left="2444" w:hanging="360"/>
      </w:pPr>
      <w:rPr>
        <w:rFonts w:ascii="Wingdings" w:hAnsi="Wingdings" w:hint="default"/>
      </w:rPr>
    </w:lvl>
    <w:lvl w:ilvl="3" w:tplc="04240001">
      <w:start w:val="1"/>
      <w:numFmt w:val="bullet"/>
      <w:lvlText w:val=""/>
      <w:lvlJc w:val="left"/>
      <w:pPr>
        <w:tabs>
          <w:tab w:val="num" w:pos="3164"/>
        </w:tabs>
        <w:ind w:left="3164" w:hanging="360"/>
      </w:pPr>
      <w:rPr>
        <w:rFonts w:ascii="Symbol" w:hAnsi="Symbol" w:hint="default"/>
      </w:rPr>
    </w:lvl>
    <w:lvl w:ilvl="4" w:tplc="04240003">
      <w:start w:val="1"/>
      <w:numFmt w:val="bullet"/>
      <w:lvlText w:val="o"/>
      <w:lvlJc w:val="left"/>
      <w:pPr>
        <w:tabs>
          <w:tab w:val="num" w:pos="3884"/>
        </w:tabs>
        <w:ind w:left="3884" w:hanging="360"/>
      </w:pPr>
      <w:rPr>
        <w:rFonts w:ascii="Courier New" w:hAnsi="Courier New" w:cs="Courier New" w:hint="default"/>
      </w:rPr>
    </w:lvl>
    <w:lvl w:ilvl="5" w:tplc="04240005">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2">
    <w:nsid w:val="1C3A1E23"/>
    <w:multiLevelType w:val="hybridMultilevel"/>
    <w:tmpl w:val="C2E085C6"/>
    <w:lvl w:ilvl="0" w:tplc="C7E05D3C">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B771FC1"/>
    <w:multiLevelType w:val="hybridMultilevel"/>
    <w:tmpl w:val="CB80A9E6"/>
    <w:lvl w:ilvl="0" w:tplc="829C3A90">
      <w:start w:val="1000"/>
      <w:numFmt w:val="bullet"/>
      <w:lvlText w:val="-"/>
      <w:lvlJc w:val="left"/>
      <w:pPr>
        <w:tabs>
          <w:tab w:val="num" w:pos="927"/>
        </w:tabs>
        <w:ind w:left="927"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02E0640"/>
    <w:multiLevelType w:val="hybridMultilevel"/>
    <w:tmpl w:val="C49AC84A"/>
    <w:lvl w:ilvl="0" w:tplc="C7E05D3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79C1099"/>
    <w:multiLevelType w:val="hybridMultilevel"/>
    <w:tmpl w:val="D49AB3B0"/>
    <w:lvl w:ilvl="0" w:tplc="DA72EFCC">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EBB55C2"/>
    <w:multiLevelType w:val="hybridMultilevel"/>
    <w:tmpl w:val="71FC3750"/>
    <w:lvl w:ilvl="0" w:tplc="DA72EFCC">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32B01E2"/>
    <w:multiLevelType w:val="hybridMultilevel"/>
    <w:tmpl w:val="C68A22C6"/>
    <w:lvl w:ilvl="0" w:tplc="C7E05D3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02E3978"/>
    <w:multiLevelType w:val="hybridMultilevel"/>
    <w:tmpl w:val="FCF6EC14"/>
    <w:lvl w:ilvl="0" w:tplc="DA72EFCC">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4AA4BAC"/>
    <w:multiLevelType w:val="hybridMultilevel"/>
    <w:tmpl w:val="753E4EA8"/>
    <w:lvl w:ilvl="0" w:tplc="829C3A90">
      <w:start w:val="1000"/>
      <w:numFmt w:val="bullet"/>
      <w:lvlText w:val="-"/>
      <w:lvlJc w:val="left"/>
      <w:pPr>
        <w:tabs>
          <w:tab w:val="num" w:pos="927"/>
        </w:tabs>
        <w:ind w:left="92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98E53CE"/>
    <w:multiLevelType w:val="hybridMultilevel"/>
    <w:tmpl w:val="9F02966C"/>
    <w:lvl w:ilvl="0" w:tplc="C7E05D3C">
      <w:numFmt w:val="bullet"/>
      <w:lvlText w:val="-"/>
      <w:lvlJc w:val="left"/>
      <w:pPr>
        <w:tabs>
          <w:tab w:val="num" w:pos="757"/>
        </w:tabs>
        <w:ind w:left="757" w:hanging="397"/>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29C44FF"/>
    <w:multiLevelType w:val="hybridMultilevel"/>
    <w:tmpl w:val="34A64722"/>
    <w:lvl w:ilvl="0" w:tplc="2102D2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BEA45CA"/>
    <w:multiLevelType w:val="hybridMultilevel"/>
    <w:tmpl w:val="EF123364"/>
    <w:lvl w:ilvl="0" w:tplc="829C3A90">
      <w:start w:val="1000"/>
      <w:numFmt w:val="bullet"/>
      <w:lvlText w:val="-"/>
      <w:lvlJc w:val="left"/>
      <w:pPr>
        <w:tabs>
          <w:tab w:val="num" w:pos="927"/>
        </w:tabs>
        <w:ind w:left="92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722B27EC"/>
    <w:multiLevelType w:val="hybridMultilevel"/>
    <w:tmpl w:val="9676D53A"/>
    <w:lvl w:ilvl="0" w:tplc="C7E05D3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63D53A6"/>
    <w:multiLevelType w:val="hybridMultilevel"/>
    <w:tmpl w:val="84763F46"/>
    <w:lvl w:ilvl="0" w:tplc="829C3A90">
      <w:start w:val="1000"/>
      <w:numFmt w:val="bullet"/>
      <w:lvlText w:val="-"/>
      <w:lvlJc w:val="left"/>
      <w:pPr>
        <w:tabs>
          <w:tab w:val="num" w:pos="927"/>
        </w:tabs>
        <w:ind w:left="92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7A4A2C01"/>
    <w:multiLevelType w:val="hybridMultilevel"/>
    <w:tmpl w:val="F822EBE8"/>
    <w:lvl w:ilvl="0" w:tplc="C7E05D3C">
      <w:numFmt w:val="bullet"/>
      <w:lvlText w:val="-"/>
      <w:lvlJc w:val="left"/>
      <w:pPr>
        <w:tabs>
          <w:tab w:val="num" w:pos="284"/>
        </w:tabs>
        <w:ind w:left="284" w:hanging="284"/>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7FA94A9C"/>
    <w:multiLevelType w:val="hybridMultilevel"/>
    <w:tmpl w:val="6310CAB8"/>
    <w:lvl w:ilvl="0" w:tplc="C5226328">
      <w:start w:val="1000"/>
      <w:numFmt w:val="bullet"/>
      <w:lvlText w:val="-"/>
      <w:lvlJc w:val="left"/>
      <w:pPr>
        <w:tabs>
          <w:tab w:val="num" w:pos="0"/>
        </w:tabs>
        <w:ind w:left="57" w:hanging="57"/>
      </w:pPr>
      <w:rPr>
        <w:rFonts w:ascii="Arial" w:eastAsia="Times New Roman" w:hAnsi="Arial" w:cs="Arial" w:hint="default"/>
        <w:b w:val="0"/>
        <w:color w:val="auto"/>
      </w:rPr>
    </w:lvl>
    <w:lvl w:ilvl="1" w:tplc="04240005">
      <w:start w:val="1"/>
      <w:numFmt w:val="bullet"/>
      <w:lvlText w:val=""/>
      <w:lvlJc w:val="left"/>
      <w:pPr>
        <w:tabs>
          <w:tab w:val="num" w:pos="1440"/>
        </w:tabs>
        <w:ind w:left="1440" w:hanging="360"/>
      </w:pPr>
      <w:rPr>
        <w:rFonts w:ascii="Wingdings" w:hAnsi="Wingdings" w:hint="default"/>
      </w:rPr>
    </w:lvl>
    <w:lvl w:ilvl="2" w:tplc="4456EE70">
      <w:start w:val="1"/>
      <w:numFmt w:val="upperLetter"/>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3"/>
  </w:num>
  <w:num w:numId="4">
    <w:abstractNumId w:val="12"/>
  </w:num>
  <w:num w:numId="5">
    <w:abstractNumId w:val="8"/>
  </w:num>
  <w:num w:numId="6">
    <w:abstractNumId w:val="6"/>
  </w:num>
  <w:num w:numId="7">
    <w:abstractNumId w:val="5"/>
  </w:num>
  <w:num w:numId="8">
    <w:abstractNumId w:val="9"/>
  </w:num>
  <w:num w:numId="9">
    <w:abstractNumId w:val="14"/>
  </w:num>
  <w:num w:numId="10">
    <w:abstractNumId w:val="2"/>
  </w:num>
  <w:num w:numId="11">
    <w:abstractNumId w:val="4"/>
  </w:num>
  <w:num w:numId="12">
    <w:abstractNumId w:val="10"/>
  </w:num>
  <w:num w:numId="13">
    <w:abstractNumId w:val="13"/>
  </w:num>
  <w:num w:numId="14">
    <w:abstractNumId w:val="7"/>
  </w:num>
  <w:num w:numId="15">
    <w:abstractNumId w:val="1"/>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D6"/>
    <w:rsid w:val="001B5376"/>
    <w:rsid w:val="003767DB"/>
    <w:rsid w:val="00432A31"/>
    <w:rsid w:val="00610BD6"/>
    <w:rsid w:val="00733AC6"/>
    <w:rsid w:val="00792706"/>
    <w:rsid w:val="00C67FA6"/>
    <w:rsid w:val="00E47E46"/>
    <w:rsid w:val="00F26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10BD6"/>
    <w:pPr>
      <w:spacing w:after="0" w:line="240" w:lineRule="auto"/>
    </w:pPr>
    <w:rPr>
      <w:rFonts w:ascii="Arial" w:eastAsia="Times New Roman" w:hAnsi="Arial" w:cs="Times New Roman"/>
      <w:szCs w:val="24"/>
      <w:lang w:eastAsia="sl-SI"/>
    </w:rPr>
  </w:style>
  <w:style w:type="paragraph" w:styleId="Naslov1">
    <w:name w:val="heading 1"/>
    <w:aliases w:val=" Znak Znak Znak Znak Znak Znak Znak Znak, Znak,Naslov A"/>
    <w:basedOn w:val="Navaden"/>
    <w:next w:val="Navaden"/>
    <w:link w:val="Naslov1Znak"/>
    <w:qFormat/>
    <w:rsid w:val="00610BD6"/>
    <w:pPr>
      <w:keepNext/>
      <w:spacing w:before="240" w:after="60"/>
      <w:outlineLvl w:val="0"/>
    </w:pPr>
    <w:rPr>
      <w:rFonts w:cs="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 Znak Znak Znak Znak Znak Znak Znak Znak Znak, Znak Znak1,Naslov A Znak"/>
    <w:basedOn w:val="Privzetapisavaodstavka"/>
    <w:link w:val="Naslov1"/>
    <w:rsid w:val="00610BD6"/>
    <w:rPr>
      <w:rFonts w:ascii="Arial" w:eastAsia="Times New Roman" w:hAnsi="Arial" w:cs="Arial"/>
      <w:b/>
      <w:bCs/>
      <w:kern w:val="32"/>
      <w:sz w:val="32"/>
      <w:szCs w:val="32"/>
      <w:lang w:eastAsia="sl-SI"/>
    </w:rPr>
  </w:style>
  <w:style w:type="paragraph" w:styleId="Glava">
    <w:name w:val="header"/>
    <w:basedOn w:val="Navaden"/>
    <w:link w:val="GlavaZnak"/>
    <w:rsid w:val="00610BD6"/>
    <w:pPr>
      <w:tabs>
        <w:tab w:val="center" w:pos="4536"/>
        <w:tab w:val="right" w:pos="9072"/>
      </w:tabs>
    </w:pPr>
  </w:style>
  <w:style w:type="character" w:customStyle="1" w:styleId="GlavaZnak">
    <w:name w:val="Glava Znak"/>
    <w:basedOn w:val="Privzetapisavaodstavka"/>
    <w:link w:val="Glava"/>
    <w:rsid w:val="00610BD6"/>
    <w:rPr>
      <w:rFonts w:ascii="Arial" w:eastAsia="Times New Roman" w:hAnsi="Arial" w:cs="Times New Roman"/>
      <w:szCs w:val="24"/>
      <w:lang w:eastAsia="sl-SI"/>
    </w:rPr>
  </w:style>
  <w:style w:type="paragraph" w:styleId="Telobesedila2">
    <w:name w:val="Body Text 2"/>
    <w:basedOn w:val="Navaden"/>
    <w:link w:val="Telobesedila2Znak"/>
    <w:rsid w:val="00610BD6"/>
    <w:pPr>
      <w:tabs>
        <w:tab w:val="center" w:pos="7560"/>
      </w:tabs>
      <w:jc w:val="both"/>
    </w:pPr>
  </w:style>
  <w:style w:type="character" w:customStyle="1" w:styleId="Telobesedila2Znak">
    <w:name w:val="Telo besedila 2 Znak"/>
    <w:basedOn w:val="Privzetapisavaodstavka"/>
    <w:link w:val="Telobesedila2"/>
    <w:rsid w:val="00610BD6"/>
    <w:rPr>
      <w:rFonts w:ascii="Arial" w:eastAsia="Times New Roman" w:hAnsi="Arial" w:cs="Times New Roman"/>
      <w:szCs w:val="24"/>
      <w:lang w:eastAsia="sl-SI"/>
    </w:rPr>
  </w:style>
  <w:style w:type="paragraph" w:styleId="Telobesedila">
    <w:name w:val="Body Text"/>
    <w:aliases w:val=" Znak Znak"/>
    <w:basedOn w:val="Navaden"/>
    <w:link w:val="TelobesedilaZnak"/>
    <w:rsid w:val="00610BD6"/>
    <w:rPr>
      <w:b/>
      <w:bCs/>
    </w:rPr>
  </w:style>
  <w:style w:type="character" w:customStyle="1" w:styleId="TelobesedilaZnak">
    <w:name w:val="Telo besedila Znak"/>
    <w:aliases w:val=" Znak Znak Znak"/>
    <w:basedOn w:val="Privzetapisavaodstavka"/>
    <w:link w:val="Telobesedila"/>
    <w:rsid w:val="00610BD6"/>
    <w:rPr>
      <w:rFonts w:ascii="Arial" w:eastAsia="Times New Roman" w:hAnsi="Arial" w:cs="Times New Roman"/>
      <w:b/>
      <w:bCs/>
      <w:szCs w:val="24"/>
      <w:lang w:eastAsia="sl-SI"/>
    </w:rPr>
  </w:style>
  <w:style w:type="paragraph" w:styleId="Telobesedila-zamik2">
    <w:name w:val="Body Text Indent 2"/>
    <w:basedOn w:val="Navaden"/>
    <w:link w:val="Telobesedila-zamik2Znak"/>
    <w:rsid w:val="00610BD6"/>
    <w:pPr>
      <w:tabs>
        <w:tab w:val="left" w:pos="900"/>
        <w:tab w:val="left" w:pos="3600"/>
      </w:tabs>
      <w:ind w:left="3600" w:hanging="3060"/>
    </w:pPr>
    <w:rPr>
      <w:rFonts w:cs="Arial"/>
      <w:szCs w:val="22"/>
    </w:rPr>
  </w:style>
  <w:style w:type="character" w:customStyle="1" w:styleId="Telobesedila-zamik2Znak">
    <w:name w:val="Telo besedila - zamik 2 Znak"/>
    <w:basedOn w:val="Privzetapisavaodstavka"/>
    <w:link w:val="Telobesedila-zamik2"/>
    <w:rsid w:val="00610BD6"/>
    <w:rPr>
      <w:rFonts w:ascii="Arial" w:eastAsia="Times New Roman" w:hAnsi="Arial" w:cs="Arial"/>
      <w:lang w:eastAsia="sl-SI"/>
    </w:rPr>
  </w:style>
  <w:style w:type="paragraph" w:styleId="Telobesedila3">
    <w:name w:val="Body Text 3"/>
    <w:basedOn w:val="Navaden"/>
    <w:link w:val="Telobesedila3Znak"/>
    <w:rsid w:val="00610BD6"/>
    <w:pPr>
      <w:spacing w:after="120"/>
    </w:pPr>
    <w:rPr>
      <w:rFonts w:ascii="Times New Roman" w:hAnsi="Times New Roman"/>
      <w:sz w:val="16"/>
      <w:szCs w:val="16"/>
    </w:rPr>
  </w:style>
  <w:style w:type="character" w:customStyle="1" w:styleId="Telobesedila3Znak">
    <w:name w:val="Telo besedila 3 Znak"/>
    <w:basedOn w:val="Privzetapisavaodstavka"/>
    <w:link w:val="Telobesedila3"/>
    <w:rsid w:val="00610BD6"/>
    <w:rPr>
      <w:rFonts w:ascii="Times New Roman" w:eastAsia="Times New Roman" w:hAnsi="Times New Roman" w:cs="Times New Roman"/>
      <w:sz w:val="16"/>
      <w:szCs w:val="16"/>
      <w:lang w:eastAsia="sl-SI"/>
    </w:rPr>
  </w:style>
  <w:style w:type="paragraph" w:customStyle="1" w:styleId="Odstavek">
    <w:name w:val="Odstavek"/>
    <w:basedOn w:val="Navaden"/>
    <w:link w:val="OdstavekCharChar"/>
    <w:rsid w:val="00610BD6"/>
    <w:pPr>
      <w:spacing w:before="60" w:after="60"/>
      <w:ind w:left="198" w:hanging="198"/>
      <w:jc w:val="both"/>
    </w:pPr>
    <w:rPr>
      <w:lang w:val="x-none" w:eastAsia="en-US"/>
    </w:rPr>
  </w:style>
  <w:style w:type="paragraph" w:styleId="Odstavekseznama">
    <w:name w:val="List Paragraph"/>
    <w:basedOn w:val="Navaden"/>
    <w:uiPriority w:val="34"/>
    <w:qFormat/>
    <w:rsid w:val="00610BD6"/>
    <w:pPr>
      <w:widowControl w:val="0"/>
      <w:ind w:left="720" w:hanging="198"/>
    </w:pPr>
    <w:rPr>
      <w:rFonts w:ascii="Times New Roman" w:hAnsi="Times New Roman"/>
      <w:sz w:val="20"/>
      <w:szCs w:val="20"/>
    </w:rPr>
  </w:style>
  <w:style w:type="paragraph" w:customStyle="1" w:styleId="E-PVO-natevanje1">
    <w:name w:val="E-PVO-naštevanje1"/>
    <w:basedOn w:val="Navaden"/>
    <w:link w:val="E-PVO-natevanje1Char"/>
    <w:rsid w:val="00610BD6"/>
    <w:pPr>
      <w:tabs>
        <w:tab w:val="num" w:pos="747"/>
      </w:tabs>
      <w:ind w:left="747" w:hanging="397"/>
    </w:pPr>
    <w:rPr>
      <w:rFonts w:ascii="Tahoma" w:hAnsi="Tahoma"/>
      <w:noProof/>
      <w:sz w:val="20"/>
      <w:lang w:val="x-none" w:eastAsia="en-US"/>
    </w:rPr>
  </w:style>
  <w:style w:type="character" w:customStyle="1" w:styleId="E-PVO-natevanje1Char">
    <w:name w:val="E-PVO-naštevanje1 Char"/>
    <w:link w:val="E-PVO-natevanje1"/>
    <w:locked/>
    <w:rsid w:val="00610BD6"/>
    <w:rPr>
      <w:rFonts w:ascii="Tahoma" w:eastAsia="Times New Roman" w:hAnsi="Tahoma" w:cs="Times New Roman"/>
      <w:noProof/>
      <w:sz w:val="20"/>
      <w:szCs w:val="24"/>
      <w:lang w:val="x-none"/>
    </w:rPr>
  </w:style>
  <w:style w:type="character" w:customStyle="1" w:styleId="OdstavekCharChar">
    <w:name w:val="Odstavek Char Char"/>
    <w:link w:val="Odstavek"/>
    <w:rsid w:val="00610BD6"/>
    <w:rPr>
      <w:rFonts w:ascii="Arial" w:eastAsia="Times New Roman" w:hAnsi="Arial" w:cs="Times New Roman"/>
      <w:szCs w:val="24"/>
      <w:lang w:val="x-none"/>
    </w:rPr>
  </w:style>
  <w:style w:type="paragraph" w:customStyle="1" w:styleId="Style20">
    <w:name w:val="Style20"/>
    <w:basedOn w:val="Navaden"/>
    <w:uiPriority w:val="99"/>
    <w:rsid w:val="00610BD6"/>
    <w:pPr>
      <w:widowControl w:val="0"/>
      <w:autoSpaceDE w:val="0"/>
      <w:autoSpaceDN w:val="0"/>
      <w:adjustRightInd w:val="0"/>
      <w:spacing w:line="276" w:lineRule="exact"/>
      <w:jc w:val="both"/>
    </w:pPr>
    <w:rPr>
      <w:rFonts w:ascii="Times New Roman" w:hAnsi="Times New Roman"/>
      <w:sz w:val="24"/>
    </w:rPr>
  </w:style>
  <w:style w:type="paragraph" w:customStyle="1" w:styleId="Default">
    <w:name w:val="Default"/>
    <w:rsid w:val="00610BD6"/>
    <w:pPr>
      <w:autoSpaceDE w:val="0"/>
      <w:autoSpaceDN w:val="0"/>
      <w:adjustRightInd w:val="0"/>
      <w:spacing w:after="0" w:line="240" w:lineRule="auto"/>
    </w:pPr>
    <w:rPr>
      <w:rFonts w:ascii="Arial" w:eastAsia="Calibri" w:hAnsi="Arial" w:cs="Arial"/>
      <w:color w:val="000000"/>
      <w:sz w:val="24"/>
      <w:szCs w:val="24"/>
      <w:lang w:eastAsia="sl-SI"/>
    </w:rPr>
  </w:style>
  <w:style w:type="paragraph" w:styleId="Besedilooblaka">
    <w:name w:val="Balloon Text"/>
    <w:basedOn w:val="Navaden"/>
    <w:link w:val="BesedilooblakaZnak"/>
    <w:uiPriority w:val="99"/>
    <w:semiHidden/>
    <w:unhideWhenUsed/>
    <w:rsid w:val="00C67FA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7FA6"/>
    <w:rPr>
      <w:rFonts w:ascii="Segoe UI" w:eastAsia="Times New Roman" w:hAnsi="Segoe UI" w:cs="Segoe UI"/>
      <w:sz w:val="18"/>
      <w:szCs w:val="18"/>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10BD6"/>
    <w:pPr>
      <w:spacing w:after="0" w:line="240" w:lineRule="auto"/>
    </w:pPr>
    <w:rPr>
      <w:rFonts w:ascii="Arial" w:eastAsia="Times New Roman" w:hAnsi="Arial" w:cs="Times New Roman"/>
      <w:szCs w:val="24"/>
      <w:lang w:eastAsia="sl-SI"/>
    </w:rPr>
  </w:style>
  <w:style w:type="paragraph" w:styleId="Naslov1">
    <w:name w:val="heading 1"/>
    <w:aliases w:val=" Znak Znak Znak Znak Znak Znak Znak Znak, Znak,Naslov A"/>
    <w:basedOn w:val="Navaden"/>
    <w:next w:val="Navaden"/>
    <w:link w:val="Naslov1Znak"/>
    <w:qFormat/>
    <w:rsid w:val="00610BD6"/>
    <w:pPr>
      <w:keepNext/>
      <w:spacing w:before="240" w:after="60"/>
      <w:outlineLvl w:val="0"/>
    </w:pPr>
    <w:rPr>
      <w:rFonts w:cs="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 Znak Znak Znak Znak Znak Znak Znak Znak Znak, Znak Znak1,Naslov A Znak"/>
    <w:basedOn w:val="Privzetapisavaodstavka"/>
    <w:link w:val="Naslov1"/>
    <w:rsid w:val="00610BD6"/>
    <w:rPr>
      <w:rFonts w:ascii="Arial" w:eastAsia="Times New Roman" w:hAnsi="Arial" w:cs="Arial"/>
      <w:b/>
      <w:bCs/>
      <w:kern w:val="32"/>
      <w:sz w:val="32"/>
      <w:szCs w:val="32"/>
      <w:lang w:eastAsia="sl-SI"/>
    </w:rPr>
  </w:style>
  <w:style w:type="paragraph" w:styleId="Glava">
    <w:name w:val="header"/>
    <w:basedOn w:val="Navaden"/>
    <w:link w:val="GlavaZnak"/>
    <w:rsid w:val="00610BD6"/>
    <w:pPr>
      <w:tabs>
        <w:tab w:val="center" w:pos="4536"/>
        <w:tab w:val="right" w:pos="9072"/>
      </w:tabs>
    </w:pPr>
  </w:style>
  <w:style w:type="character" w:customStyle="1" w:styleId="GlavaZnak">
    <w:name w:val="Glava Znak"/>
    <w:basedOn w:val="Privzetapisavaodstavka"/>
    <w:link w:val="Glava"/>
    <w:rsid w:val="00610BD6"/>
    <w:rPr>
      <w:rFonts w:ascii="Arial" w:eastAsia="Times New Roman" w:hAnsi="Arial" w:cs="Times New Roman"/>
      <w:szCs w:val="24"/>
      <w:lang w:eastAsia="sl-SI"/>
    </w:rPr>
  </w:style>
  <w:style w:type="paragraph" w:styleId="Telobesedila2">
    <w:name w:val="Body Text 2"/>
    <w:basedOn w:val="Navaden"/>
    <w:link w:val="Telobesedila2Znak"/>
    <w:rsid w:val="00610BD6"/>
    <w:pPr>
      <w:tabs>
        <w:tab w:val="center" w:pos="7560"/>
      </w:tabs>
      <w:jc w:val="both"/>
    </w:pPr>
  </w:style>
  <w:style w:type="character" w:customStyle="1" w:styleId="Telobesedila2Znak">
    <w:name w:val="Telo besedila 2 Znak"/>
    <w:basedOn w:val="Privzetapisavaodstavka"/>
    <w:link w:val="Telobesedila2"/>
    <w:rsid w:val="00610BD6"/>
    <w:rPr>
      <w:rFonts w:ascii="Arial" w:eastAsia="Times New Roman" w:hAnsi="Arial" w:cs="Times New Roman"/>
      <w:szCs w:val="24"/>
      <w:lang w:eastAsia="sl-SI"/>
    </w:rPr>
  </w:style>
  <w:style w:type="paragraph" w:styleId="Telobesedila">
    <w:name w:val="Body Text"/>
    <w:aliases w:val=" Znak Znak"/>
    <w:basedOn w:val="Navaden"/>
    <w:link w:val="TelobesedilaZnak"/>
    <w:rsid w:val="00610BD6"/>
    <w:rPr>
      <w:b/>
      <w:bCs/>
    </w:rPr>
  </w:style>
  <w:style w:type="character" w:customStyle="1" w:styleId="TelobesedilaZnak">
    <w:name w:val="Telo besedila Znak"/>
    <w:aliases w:val=" Znak Znak Znak"/>
    <w:basedOn w:val="Privzetapisavaodstavka"/>
    <w:link w:val="Telobesedila"/>
    <w:rsid w:val="00610BD6"/>
    <w:rPr>
      <w:rFonts w:ascii="Arial" w:eastAsia="Times New Roman" w:hAnsi="Arial" w:cs="Times New Roman"/>
      <w:b/>
      <w:bCs/>
      <w:szCs w:val="24"/>
      <w:lang w:eastAsia="sl-SI"/>
    </w:rPr>
  </w:style>
  <w:style w:type="paragraph" w:styleId="Telobesedila-zamik2">
    <w:name w:val="Body Text Indent 2"/>
    <w:basedOn w:val="Navaden"/>
    <w:link w:val="Telobesedila-zamik2Znak"/>
    <w:rsid w:val="00610BD6"/>
    <w:pPr>
      <w:tabs>
        <w:tab w:val="left" w:pos="900"/>
        <w:tab w:val="left" w:pos="3600"/>
      </w:tabs>
      <w:ind w:left="3600" w:hanging="3060"/>
    </w:pPr>
    <w:rPr>
      <w:rFonts w:cs="Arial"/>
      <w:szCs w:val="22"/>
    </w:rPr>
  </w:style>
  <w:style w:type="character" w:customStyle="1" w:styleId="Telobesedila-zamik2Znak">
    <w:name w:val="Telo besedila - zamik 2 Znak"/>
    <w:basedOn w:val="Privzetapisavaodstavka"/>
    <w:link w:val="Telobesedila-zamik2"/>
    <w:rsid w:val="00610BD6"/>
    <w:rPr>
      <w:rFonts w:ascii="Arial" w:eastAsia="Times New Roman" w:hAnsi="Arial" w:cs="Arial"/>
      <w:lang w:eastAsia="sl-SI"/>
    </w:rPr>
  </w:style>
  <w:style w:type="paragraph" w:styleId="Telobesedila3">
    <w:name w:val="Body Text 3"/>
    <w:basedOn w:val="Navaden"/>
    <w:link w:val="Telobesedila3Znak"/>
    <w:rsid w:val="00610BD6"/>
    <w:pPr>
      <w:spacing w:after="120"/>
    </w:pPr>
    <w:rPr>
      <w:rFonts w:ascii="Times New Roman" w:hAnsi="Times New Roman"/>
      <w:sz w:val="16"/>
      <w:szCs w:val="16"/>
    </w:rPr>
  </w:style>
  <w:style w:type="character" w:customStyle="1" w:styleId="Telobesedila3Znak">
    <w:name w:val="Telo besedila 3 Znak"/>
    <w:basedOn w:val="Privzetapisavaodstavka"/>
    <w:link w:val="Telobesedila3"/>
    <w:rsid w:val="00610BD6"/>
    <w:rPr>
      <w:rFonts w:ascii="Times New Roman" w:eastAsia="Times New Roman" w:hAnsi="Times New Roman" w:cs="Times New Roman"/>
      <w:sz w:val="16"/>
      <w:szCs w:val="16"/>
      <w:lang w:eastAsia="sl-SI"/>
    </w:rPr>
  </w:style>
  <w:style w:type="paragraph" w:customStyle="1" w:styleId="Odstavek">
    <w:name w:val="Odstavek"/>
    <w:basedOn w:val="Navaden"/>
    <w:link w:val="OdstavekCharChar"/>
    <w:rsid w:val="00610BD6"/>
    <w:pPr>
      <w:spacing w:before="60" w:after="60"/>
      <w:ind w:left="198" w:hanging="198"/>
      <w:jc w:val="both"/>
    </w:pPr>
    <w:rPr>
      <w:lang w:val="x-none" w:eastAsia="en-US"/>
    </w:rPr>
  </w:style>
  <w:style w:type="paragraph" w:styleId="Odstavekseznama">
    <w:name w:val="List Paragraph"/>
    <w:basedOn w:val="Navaden"/>
    <w:uiPriority w:val="34"/>
    <w:qFormat/>
    <w:rsid w:val="00610BD6"/>
    <w:pPr>
      <w:widowControl w:val="0"/>
      <w:ind w:left="720" w:hanging="198"/>
    </w:pPr>
    <w:rPr>
      <w:rFonts w:ascii="Times New Roman" w:hAnsi="Times New Roman"/>
      <w:sz w:val="20"/>
      <w:szCs w:val="20"/>
    </w:rPr>
  </w:style>
  <w:style w:type="paragraph" w:customStyle="1" w:styleId="E-PVO-natevanje1">
    <w:name w:val="E-PVO-naštevanje1"/>
    <w:basedOn w:val="Navaden"/>
    <w:link w:val="E-PVO-natevanje1Char"/>
    <w:rsid w:val="00610BD6"/>
    <w:pPr>
      <w:tabs>
        <w:tab w:val="num" w:pos="747"/>
      </w:tabs>
      <w:ind w:left="747" w:hanging="397"/>
    </w:pPr>
    <w:rPr>
      <w:rFonts w:ascii="Tahoma" w:hAnsi="Tahoma"/>
      <w:noProof/>
      <w:sz w:val="20"/>
      <w:lang w:val="x-none" w:eastAsia="en-US"/>
    </w:rPr>
  </w:style>
  <w:style w:type="character" w:customStyle="1" w:styleId="E-PVO-natevanje1Char">
    <w:name w:val="E-PVO-naštevanje1 Char"/>
    <w:link w:val="E-PVO-natevanje1"/>
    <w:locked/>
    <w:rsid w:val="00610BD6"/>
    <w:rPr>
      <w:rFonts w:ascii="Tahoma" w:eastAsia="Times New Roman" w:hAnsi="Tahoma" w:cs="Times New Roman"/>
      <w:noProof/>
      <w:sz w:val="20"/>
      <w:szCs w:val="24"/>
      <w:lang w:val="x-none"/>
    </w:rPr>
  </w:style>
  <w:style w:type="character" w:customStyle="1" w:styleId="OdstavekCharChar">
    <w:name w:val="Odstavek Char Char"/>
    <w:link w:val="Odstavek"/>
    <w:rsid w:val="00610BD6"/>
    <w:rPr>
      <w:rFonts w:ascii="Arial" w:eastAsia="Times New Roman" w:hAnsi="Arial" w:cs="Times New Roman"/>
      <w:szCs w:val="24"/>
      <w:lang w:val="x-none"/>
    </w:rPr>
  </w:style>
  <w:style w:type="paragraph" w:customStyle="1" w:styleId="Style20">
    <w:name w:val="Style20"/>
    <w:basedOn w:val="Navaden"/>
    <w:uiPriority w:val="99"/>
    <w:rsid w:val="00610BD6"/>
    <w:pPr>
      <w:widowControl w:val="0"/>
      <w:autoSpaceDE w:val="0"/>
      <w:autoSpaceDN w:val="0"/>
      <w:adjustRightInd w:val="0"/>
      <w:spacing w:line="276" w:lineRule="exact"/>
      <w:jc w:val="both"/>
    </w:pPr>
    <w:rPr>
      <w:rFonts w:ascii="Times New Roman" w:hAnsi="Times New Roman"/>
      <w:sz w:val="24"/>
    </w:rPr>
  </w:style>
  <w:style w:type="paragraph" w:customStyle="1" w:styleId="Default">
    <w:name w:val="Default"/>
    <w:rsid w:val="00610BD6"/>
    <w:pPr>
      <w:autoSpaceDE w:val="0"/>
      <w:autoSpaceDN w:val="0"/>
      <w:adjustRightInd w:val="0"/>
      <w:spacing w:after="0" w:line="240" w:lineRule="auto"/>
    </w:pPr>
    <w:rPr>
      <w:rFonts w:ascii="Arial" w:eastAsia="Calibri" w:hAnsi="Arial" w:cs="Arial"/>
      <w:color w:val="000000"/>
      <w:sz w:val="24"/>
      <w:szCs w:val="24"/>
      <w:lang w:eastAsia="sl-SI"/>
    </w:rPr>
  </w:style>
  <w:style w:type="paragraph" w:styleId="Besedilooblaka">
    <w:name w:val="Balloon Text"/>
    <w:basedOn w:val="Navaden"/>
    <w:link w:val="BesedilooblakaZnak"/>
    <w:uiPriority w:val="99"/>
    <w:semiHidden/>
    <w:unhideWhenUsed/>
    <w:rsid w:val="00C67FA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7FA6"/>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4" ma:contentTypeDescription="Ustvari nov dokument." ma:contentTypeScope="" ma:versionID="f09be9002d9e3a84eb390f8951044b66">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ab1df09e9390821fad0dca21e14a2019"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D4D99FD3-2E66-4A51-8D88-76D12849B2F5}"/>
</file>

<file path=customXml/itemProps2.xml><?xml version="1.0" encoding="utf-8"?>
<ds:datastoreItem xmlns:ds="http://schemas.openxmlformats.org/officeDocument/2006/customXml" ds:itemID="{237D6E1F-38EC-41E4-BEA5-93EA9325B4DB}"/>
</file>

<file path=customXml/itemProps3.xml><?xml version="1.0" encoding="utf-8"?>
<ds:datastoreItem xmlns:ds="http://schemas.openxmlformats.org/officeDocument/2006/customXml" ds:itemID="{DB47DB64-F617-4F30-A9A7-0AD66056D2BD}"/>
</file>

<file path=docProps/app.xml><?xml version="1.0" encoding="utf-8"?>
<Properties xmlns="http://schemas.openxmlformats.org/officeDocument/2006/extended-properties" xmlns:vt="http://schemas.openxmlformats.org/officeDocument/2006/docPropsVTypes">
  <Template>Normal.dotm</Template>
  <TotalTime>62</TotalTime>
  <Pages>22</Pages>
  <Words>9522</Words>
  <Characters>54278</Characters>
  <Application>Microsoft Office Word</Application>
  <DocSecurity>0</DocSecurity>
  <Lines>452</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dc:creator>
  <cp:keywords/>
  <dc:description/>
  <cp:lastModifiedBy>Marjanca Tomažin</cp:lastModifiedBy>
  <cp:revision>4</cp:revision>
  <cp:lastPrinted>2018-02-19T09:15:00Z</cp:lastPrinted>
  <dcterms:created xsi:type="dcterms:W3CDTF">2018-02-16T07:51:00Z</dcterms:created>
  <dcterms:modified xsi:type="dcterms:W3CDTF">2018-02-19T09:17:00Z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y fmtid="{D5CDD505-2E9C-101B-9397-08002B2CF9AE}" pid="3" name="MediaServiceImageTags">
    <vt:lpwstr/>
  </property>
</Properties>
</file>